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7" w:type="dxa"/>
        <w:tblLayout w:type="fixed"/>
        <w:tblCellMar>
          <w:left w:w="0" w:type="dxa"/>
          <w:right w:w="0" w:type="dxa"/>
        </w:tblCellMar>
        <w:tblLook w:val="01E0" w:firstRow="1" w:lastRow="1" w:firstColumn="1" w:lastColumn="1" w:noHBand="0" w:noVBand="0"/>
      </w:tblPr>
      <w:tblGrid>
        <w:gridCol w:w="6634"/>
        <w:gridCol w:w="3683"/>
      </w:tblGrid>
      <w:tr w:rsidR="00827313">
        <w:trPr>
          <w:trHeight w:val="392"/>
        </w:trPr>
        <w:tc>
          <w:tcPr>
            <w:tcW w:w="6634" w:type="dxa"/>
          </w:tcPr>
          <w:p w:rsidR="00827313" w:rsidRDefault="00AE6C59">
            <w:pPr>
              <w:pStyle w:val="TableParagraph"/>
              <w:spacing w:line="268" w:lineRule="exact"/>
              <w:ind w:left="112"/>
              <w:rPr>
                <w:sz w:val="24"/>
              </w:rPr>
            </w:pPr>
            <w:r>
              <w:rPr>
                <w:sz w:val="24"/>
              </w:rPr>
              <w:t>WEST LONDON WASTE AUTHORITY</w:t>
            </w:r>
          </w:p>
        </w:tc>
        <w:tc>
          <w:tcPr>
            <w:tcW w:w="3683" w:type="dxa"/>
          </w:tcPr>
          <w:p w:rsidR="00827313" w:rsidRDefault="00827313">
            <w:pPr>
              <w:pStyle w:val="TableParagraph"/>
              <w:rPr>
                <w:rFonts w:ascii="Times New Roman"/>
              </w:rPr>
            </w:pPr>
          </w:p>
        </w:tc>
      </w:tr>
      <w:tr w:rsidR="00827313">
        <w:trPr>
          <w:trHeight w:val="516"/>
        </w:trPr>
        <w:tc>
          <w:tcPr>
            <w:tcW w:w="6634" w:type="dxa"/>
          </w:tcPr>
          <w:p w:rsidR="00827313" w:rsidRDefault="00AE6C59">
            <w:pPr>
              <w:pStyle w:val="TableParagraph"/>
              <w:spacing w:before="116"/>
              <w:ind w:left="112"/>
              <w:rPr>
                <w:sz w:val="24"/>
              </w:rPr>
            </w:pPr>
            <w:r>
              <w:rPr>
                <w:sz w:val="24"/>
              </w:rPr>
              <w:t>Report of the Waste Minimisation Manager</w:t>
            </w:r>
          </w:p>
        </w:tc>
        <w:tc>
          <w:tcPr>
            <w:tcW w:w="3683" w:type="dxa"/>
          </w:tcPr>
          <w:p w:rsidR="00827313" w:rsidRDefault="00AE6C59">
            <w:pPr>
              <w:pStyle w:val="TableParagraph"/>
              <w:spacing w:before="116"/>
              <w:ind w:left="1979"/>
              <w:rPr>
                <w:sz w:val="24"/>
              </w:rPr>
            </w:pPr>
            <w:r>
              <w:rPr>
                <w:sz w:val="24"/>
              </w:rPr>
              <w:t>29 March 2019</w:t>
            </w:r>
          </w:p>
        </w:tc>
      </w:tr>
      <w:tr w:rsidR="00827313">
        <w:trPr>
          <w:trHeight w:val="754"/>
        </w:trPr>
        <w:tc>
          <w:tcPr>
            <w:tcW w:w="6634" w:type="dxa"/>
            <w:tcBorders>
              <w:bottom w:val="single" w:sz="4" w:space="0" w:color="000000"/>
            </w:tcBorders>
          </w:tcPr>
          <w:p w:rsidR="00827313" w:rsidRDefault="00AE6C59">
            <w:pPr>
              <w:pStyle w:val="TableParagraph"/>
              <w:spacing w:before="116"/>
              <w:ind w:left="112"/>
              <w:rPr>
                <w:b/>
                <w:sz w:val="24"/>
              </w:rPr>
            </w:pPr>
            <w:r>
              <w:rPr>
                <w:b/>
                <w:sz w:val="24"/>
              </w:rPr>
              <w:t>Waste Minimisation Update</w:t>
            </w:r>
          </w:p>
        </w:tc>
        <w:tc>
          <w:tcPr>
            <w:tcW w:w="3683" w:type="dxa"/>
            <w:tcBorders>
              <w:bottom w:val="single" w:sz="4" w:space="0" w:color="000000"/>
            </w:tcBorders>
          </w:tcPr>
          <w:p w:rsidR="00827313" w:rsidRDefault="00827313">
            <w:pPr>
              <w:pStyle w:val="TableParagraph"/>
              <w:rPr>
                <w:rFonts w:ascii="Times New Roman"/>
              </w:rPr>
            </w:pPr>
          </w:p>
        </w:tc>
      </w:tr>
      <w:tr w:rsidR="00827313">
        <w:trPr>
          <w:trHeight w:val="1067"/>
        </w:trPr>
        <w:tc>
          <w:tcPr>
            <w:tcW w:w="10317" w:type="dxa"/>
            <w:gridSpan w:val="2"/>
            <w:tcBorders>
              <w:top w:val="single" w:sz="4" w:space="0" w:color="000000"/>
              <w:left w:val="single" w:sz="4" w:space="0" w:color="000000"/>
              <w:bottom w:val="single" w:sz="4" w:space="0" w:color="000000"/>
              <w:right w:val="single" w:sz="4" w:space="0" w:color="000000"/>
            </w:tcBorders>
          </w:tcPr>
          <w:p w:rsidR="00827313" w:rsidRDefault="00AE6C59">
            <w:pPr>
              <w:pStyle w:val="TableParagraph"/>
              <w:spacing w:before="118"/>
              <w:ind w:left="636"/>
              <w:rPr>
                <w:b/>
                <w:sz w:val="24"/>
              </w:rPr>
            </w:pPr>
            <w:r>
              <w:rPr>
                <w:b/>
                <w:sz w:val="24"/>
              </w:rPr>
              <w:t>SUMMARY</w:t>
            </w:r>
          </w:p>
          <w:p w:rsidR="00827313" w:rsidRDefault="00AE6C59">
            <w:pPr>
              <w:pStyle w:val="TableParagraph"/>
              <w:spacing w:before="120"/>
              <w:ind w:left="636"/>
              <w:rPr>
                <w:sz w:val="24"/>
              </w:rPr>
            </w:pPr>
            <w:r>
              <w:rPr>
                <w:sz w:val="24"/>
              </w:rPr>
              <w:t>This report provides an update on the Authority’s Waste Minimisation activities.</w:t>
            </w:r>
          </w:p>
        </w:tc>
      </w:tr>
      <w:tr w:rsidR="00827313">
        <w:trPr>
          <w:trHeight w:val="395"/>
        </w:trPr>
        <w:tc>
          <w:tcPr>
            <w:tcW w:w="10317" w:type="dxa"/>
            <w:gridSpan w:val="2"/>
            <w:tcBorders>
              <w:top w:val="single" w:sz="4" w:space="0" w:color="000000"/>
              <w:bottom w:val="single" w:sz="4" w:space="0" w:color="000000"/>
            </w:tcBorders>
          </w:tcPr>
          <w:p w:rsidR="00827313" w:rsidRDefault="00827313">
            <w:pPr>
              <w:pStyle w:val="TableParagraph"/>
              <w:rPr>
                <w:rFonts w:ascii="Times New Roman"/>
              </w:rPr>
            </w:pPr>
          </w:p>
        </w:tc>
      </w:tr>
      <w:tr w:rsidR="00827313">
        <w:trPr>
          <w:trHeight w:val="1550"/>
        </w:trPr>
        <w:tc>
          <w:tcPr>
            <w:tcW w:w="6634" w:type="dxa"/>
            <w:tcBorders>
              <w:top w:val="single" w:sz="4" w:space="0" w:color="000000"/>
              <w:left w:val="single" w:sz="4" w:space="0" w:color="000000"/>
              <w:bottom w:val="single" w:sz="4" w:space="0" w:color="000000"/>
            </w:tcBorders>
          </w:tcPr>
          <w:p w:rsidR="00827313" w:rsidRDefault="00AE6C59">
            <w:pPr>
              <w:pStyle w:val="TableParagraph"/>
              <w:spacing w:before="118"/>
              <w:ind w:left="636"/>
              <w:rPr>
                <w:b/>
                <w:sz w:val="24"/>
              </w:rPr>
            </w:pPr>
            <w:r>
              <w:rPr>
                <w:b/>
                <w:sz w:val="24"/>
              </w:rPr>
              <w:t>RECOMMENDATION(S)</w:t>
            </w:r>
          </w:p>
          <w:p w:rsidR="00827313" w:rsidRDefault="00AE6C59">
            <w:pPr>
              <w:pStyle w:val="TableParagraph"/>
              <w:spacing w:before="120"/>
              <w:ind w:left="636"/>
              <w:rPr>
                <w:sz w:val="24"/>
              </w:rPr>
            </w:pPr>
            <w:r>
              <w:rPr>
                <w:sz w:val="24"/>
              </w:rPr>
              <w:t>The Authority is asked</w:t>
            </w:r>
            <w:r>
              <w:rPr>
                <w:spacing w:val="-7"/>
                <w:sz w:val="24"/>
              </w:rPr>
              <w:t xml:space="preserve"> </w:t>
            </w:r>
            <w:r>
              <w:rPr>
                <w:sz w:val="24"/>
              </w:rPr>
              <w:t>to:</w:t>
            </w:r>
          </w:p>
          <w:p w:rsidR="00827313" w:rsidRDefault="00827313">
            <w:pPr>
              <w:pStyle w:val="TableParagraph"/>
              <w:spacing w:before="9"/>
              <w:rPr>
                <w:rFonts w:ascii="Times New Roman"/>
                <w:sz w:val="20"/>
              </w:rPr>
            </w:pPr>
          </w:p>
          <w:p w:rsidR="00827313" w:rsidRDefault="00AE6C59">
            <w:pPr>
              <w:pStyle w:val="TableParagraph"/>
              <w:spacing w:before="1"/>
              <w:ind w:left="703"/>
              <w:rPr>
                <w:sz w:val="24"/>
              </w:rPr>
            </w:pPr>
            <w:r>
              <w:rPr>
                <w:sz w:val="24"/>
              </w:rPr>
              <w:t>Note the information within this report.</w:t>
            </w:r>
          </w:p>
        </w:tc>
        <w:tc>
          <w:tcPr>
            <w:tcW w:w="3683" w:type="dxa"/>
            <w:tcBorders>
              <w:top w:val="single" w:sz="4" w:space="0" w:color="000000"/>
              <w:bottom w:val="single" w:sz="4" w:space="0" w:color="000000"/>
              <w:right w:val="single" w:sz="4" w:space="0" w:color="000000"/>
            </w:tcBorders>
          </w:tcPr>
          <w:p w:rsidR="00827313" w:rsidRDefault="00827313">
            <w:pPr>
              <w:pStyle w:val="TableParagraph"/>
              <w:rPr>
                <w:rFonts w:ascii="Times New Roman"/>
              </w:rPr>
            </w:pPr>
          </w:p>
        </w:tc>
      </w:tr>
    </w:tbl>
    <w:p w:rsidR="00827313" w:rsidRDefault="00827313">
      <w:pPr>
        <w:pStyle w:val="BodyText"/>
        <w:spacing w:before="11"/>
        <w:rPr>
          <w:rFonts w:ascii="Times New Roman"/>
          <w:sz w:val="26"/>
        </w:rPr>
      </w:pPr>
    </w:p>
    <w:p w:rsidR="00827313" w:rsidRDefault="00AE6C59">
      <w:pPr>
        <w:pStyle w:val="ListParagraph"/>
        <w:numPr>
          <w:ilvl w:val="0"/>
          <w:numId w:val="1"/>
        </w:numPr>
        <w:tabs>
          <w:tab w:val="left" w:pos="500"/>
        </w:tabs>
        <w:spacing w:before="92"/>
        <w:ind w:right="389"/>
        <w:rPr>
          <w:sz w:val="24"/>
        </w:rPr>
      </w:pPr>
      <w:r>
        <w:rPr>
          <w:b/>
          <w:sz w:val="24"/>
        </w:rPr>
        <w:t xml:space="preserve">Introduction </w:t>
      </w:r>
      <w:r>
        <w:rPr>
          <w:sz w:val="24"/>
        </w:rPr>
        <w:t>– The Waste Minimisation Team delivers the campaigns that focus on minimising the seven key waste streams of food, textiles, waste electrical and electronic equipment, nappies, bulky household waste, plastics and dry mixed recycling. The team is also responsible for the Authority’s website, intranet, social media, and media communications.</w:t>
      </w:r>
      <w:r w:rsidR="000D55C4">
        <w:rPr>
          <w:sz w:val="24"/>
        </w:rPr>
        <w:t xml:space="preserve"> </w:t>
      </w:r>
    </w:p>
    <w:p w:rsidR="00827313" w:rsidRDefault="00AE6C59">
      <w:pPr>
        <w:pStyle w:val="Heading1"/>
        <w:numPr>
          <w:ilvl w:val="0"/>
          <w:numId w:val="1"/>
        </w:numPr>
        <w:tabs>
          <w:tab w:val="left" w:pos="500"/>
        </w:tabs>
        <w:spacing w:before="217"/>
      </w:pPr>
      <w:r>
        <w:t>Key waste</w:t>
      </w:r>
      <w:r>
        <w:rPr>
          <w:spacing w:val="-7"/>
        </w:rPr>
        <w:t xml:space="preserve"> </w:t>
      </w:r>
      <w:r>
        <w:t>streams</w:t>
      </w:r>
    </w:p>
    <w:p w:rsidR="00827313" w:rsidRDefault="00AE6C59">
      <w:pPr>
        <w:pStyle w:val="ListParagraph"/>
        <w:numPr>
          <w:ilvl w:val="1"/>
          <w:numId w:val="1"/>
        </w:numPr>
        <w:tabs>
          <w:tab w:val="left" w:pos="933"/>
        </w:tabs>
        <w:spacing w:before="118"/>
        <w:ind w:hanging="432"/>
        <w:rPr>
          <w:b/>
          <w:sz w:val="24"/>
        </w:rPr>
      </w:pPr>
      <w:r>
        <w:rPr>
          <w:b/>
          <w:sz w:val="24"/>
        </w:rPr>
        <w:t>Food</w:t>
      </w:r>
      <w:r>
        <w:rPr>
          <w:b/>
          <w:spacing w:val="-1"/>
          <w:sz w:val="24"/>
        </w:rPr>
        <w:t xml:space="preserve"> </w:t>
      </w:r>
      <w:r>
        <w:rPr>
          <w:b/>
          <w:sz w:val="24"/>
        </w:rPr>
        <w:t>Waste</w:t>
      </w:r>
    </w:p>
    <w:p w:rsidR="00827313" w:rsidRDefault="00AE6C59">
      <w:pPr>
        <w:pStyle w:val="ListParagraph"/>
        <w:numPr>
          <w:ilvl w:val="2"/>
          <w:numId w:val="1"/>
        </w:numPr>
        <w:tabs>
          <w:tab w:val="left" w:pos="2183"/>
        </w:tabs>
        <w:ind w:right="390" w:firstLine="0"/>
        <w:rPr>
          <w:sz w:val="24"/>
        </w:rPr>
      </w:pPr>
      <w:r>
        <w:rPr>
          <w:sz w:val="24"/>
        </w:rPr>
        <w:t>516 flats across seven sites in Richmond began a trial for food waste recycling collection for flats on the 20</w:t>
      </w:r>
      <w:proofErr w:type="spellStart"/>
      <w:r>
        <w:rPr>
          <w:position w:val="8"/>
          <w:sz w:val="16"/>
        </w:rPr>
        <w:t>th</w:t>
      </w:r>
      <w:proofErr w:type="spellEnd"/>
      <w:r>
        <w:rPr>
          <w:position w:val="8"/>
          <w:sz w:val="16"/>
        </w:rPr>
        <w:t xml:space="preserve"> </w:t>
      </w:r>
      <w:r>
        <w:rPr>
          <w:sz w:val="24"/>
        </w:rPr>
        <w:t>of October. Working with managing agents of the sites, the Waste Minimisation team delivered letters, leaflets, caddy liners, indoor caddies and communal bins to residents around the Twickenham, Mortlake and Kew areas of the</w:t>
      </w:r>
      <w:r>
        <w:rPr>
          <w:spacing w:val="-8"/>
          <w:sz w:val="24"/>
        </w:rPr>
        <w:t xml:space="preserve"> </w:t>
      </w:r>
      <w:r>
        <w:rPr>
          <w:sz w:val="24"/>
        </w:rPr>
        <w:t>borough.</w:t>
      </w:r>
    </w:p>
    <w:p w:rsidR="00827313" w:rsidRDefault="00827313">
      <w:pPr>
        <w:pStyle w:val="BodyText"/>
        <w:spacing w:before="5"/>
        <w:rPr>
          <w:sz w:val="20"/>
        </w:rPr>
      </w:pPr>
    </w:p>
    <w:p w:rsidR="005728FC" w:rsidRDefault="00AE6C59">
      <w:pPr>
        <w:pStyle w:val="BodyText"/>
        <w:ind w:left="1364" w:right="386"/>
        <w:jc w:val="both"/>
      </w:pPr>
      <w:r>
        <w:t>As of the beginning of March 2019, collections have totalled at 4.6 tonnes since the project started. Current average weekly collection weight to date stands at 230kg, which</w:t>
      </w:r>
      <w:r>
        <w:rPr>
          <w:spacing w:val="-9"/>
        </w:rPr>
        <w:t xml:space="preserve"> </w:t>
      </w:r>
      <w:r>
        <w:t>suggests</w:t>
      </w:r>
      <w:r>
        <w:rPr>
          <w:spacing w:val="-8"/>
        </w:rPr>
        <w:t xml:space="preserve"> </w:t>
      </w:r>
      <w:r>
        <w:t>an</w:t>
      </w:r>
      <w:r>
        <w:rPr>
          <w:spacing w:val="-8"/>
        </w:rPr>
        <w:t xml:space="preserve"> </w:t>
      </w:r>
      <w:r>
        <w:t>overall</w:t>
      </w:r>
      <w:r>
        <w:rPr>
          <w:spacing w:val="-9"/>
        </w:rPr>
        <w:t xml:space="preserve"> </w:t>
      </w:r>
      <w:r>
        <w:t>estimated</w:t>
      </w:r>
      <w:r>
        <w:rPr>
          <w:spacing w:val="-7"/>
        </w:rPr>
        <w:t xml:space="preserve"> </w:t>
      </w:r>
      <w:r>
        <w:t>household</w:t>
      </w:r>
      <w:r>
        <w:rPr>
          <w:spacing w:val="-8"/>
        </w:rPr>
        <w:t xml:space="preserve"> </w:t>
      </w:r>
      <w:r>
        <w:t>participation</w:t>
      </w:r>
      <w:r>
        <w:rPr>
          <w:spacing w:val="-8"/>
        </w:rPr>
        <w:t xml:space="preserve"> </w:t>
      </w:r>
      <w:r>
        <w:t>rate</w:t>
      </w:r>
      <w:r>
        <w:rPr>
          <w:spacing w:val="-10"/>
        </w:rPr>
        <w:t xml:space="preserve"> </w:t>
      </w:r>
      <w:r>
        <w:t>of</w:t>
      </w:r>
      <w:r>
        <w:rPr>
          <w:spacing w:val="-6"/>
        </w:rPr>
        <w:t xml:space="preserve"> </w:t>
      </w:r>
      <w:r>
        <w:t>39%.</w:t>
      </w:r>
      <w:r>
        <w:rPr>
          <w:spacing w:val="-9"/>
        </w:rPr>
        <w:t xml:space="preserve"> </w:t>
      </w:r>
      <w:r>
        <w:t>There</w:t>
      </w:r>
      <w:r>
        <w:rPr>
          <w:spacing w:val="-9"/>
        </w:rPr>
        <w:t xml:space="preserve"> </w:t>
      </w:r>
      <w:r w:rsidR="005728FC">
        <w:rPr>
          <w:spacing w:val="-9"/>
        </w:rPr>
        <w:t>w</w:t>
      </w:r>
      <w:r>
        <w:t xml:space="preserve">as a decline of food waste collected during February; however, </w:t>
      </w:r>
      <w:r w:rsidR="005728FC">
        <w:t xml:space="preserve">following a second round of intervention of doorstep engagement, mobile service survey and the delivery of caddy liners was carried out towards the end of February, </w:t>
      </w:r>
      <w:r>
        <w:t>participation sharply increased to 71%</w:t>
      </w:r>
      <w:r w:rsidR="005728FC">
        <w:t xml:space="preserve"> equivalent to</w:t>
      </w:r>
      <w:r>
        <w:t xml:space="preserve"> </w:t>
      </w:r>
      <w:r w:rsidR="005728FC">
        <w:t xml:space="preserve">average </w:t>
      </w:r>
      <w:r>
        <w:t>460kg food waste collected</w:t>
      </w:r>
      <w:r w:rsidR="005728FC">
        <w:t xml:space="preserve"> per week</w:t>
      </w:r>
      <w:r>
        <w:t xml:space="preserve">. </w:t>
      </w:r>
    </w:p>
    <w:p w:rsidR="005728FC" w:rsidRDefault="005728FC">
      <w:pPr>
        <w:pStyle w:val="BodyText"/>
        <w:ind w:left="1364" w:right="386"/>
        <w:jc w:val="both"/>
      </w:pPr>
    </w:p>
    <w:p w:rsidR="00827313" w:rsidRDefault="00AE6C59">
      <w:pPr>
        <w:pStyle w:val="BodyText"/>
        <w:ind w:left="1364" w:right="386"/>
        <w:jc w:val="both"/>
      </w:pPr>
      <w:r>
        <w:t xml:space="preserve">The mobile survey </w:t>
      </w:r>
      <w:r w:rsidR="005728FC">
        <w:t>introduces</w:t>
      </w:r>
      <w:r>
        <w:t xml:space="preserve"> new technology implemented to educate residents and to</w:t>
      </w:r>
      <w:r>
        <w:rPr>
          <w:spacing w:val="-10"/>
        </w:rPr>
        <w:t xml:space="preserve"> </w:t>
      </w:r>
      <w:r>
        <w:t>gather</w:t>
      </w:r>
      <w:r>
        <w:rPr>
          <w:spacing w:val="-12"/>
        </w:rPr>
        <w:t xml:space="preserve"> </w:t>
      </w:r>
      <w:r>
        <w:t>responses</w:t>
      </w:r>
      <w:r>
        <w:rPr>
          <w:spacing w:val="-12"/>
        </w:rPr>
        <w:t xml:space="preserve"> </w:t>
      </w:r>
      <w:r>
        <w:t>with</w:t>
      </w:r>
      <w:r w:rsidR="005728FC">
        <w:t xml:space="preserve"> fewer resources needed and no door</w:t>
      </w:r>
      <w:r w:rsidR="00E31A35">
        <w:t xml:space="preserve"> </w:t>
      </w:r>
      <w:r w:rsidR="005728FC">
        <w:t>knocking</w:t>
      </w:r>
      <w:r>
        <w:t>.</w:t>
      </w:r>
      <w:r>
        <w:rPr>
          <w:spacing w:val="-6"/>
        </w:rPr>
        <w:t xml:space="preserve"> </w:t>
      </w:r>
      <w:r>
        <w:t>The</w:t>
      </w:r>
      <w:r>
        <w:rPr>
          <w:spacing w:val="-3"/>
        </w:rPr>
        <w:t xml:space="preserve"> </w:t>
      </w:r>
      <w:r>
        <w:t>use</w:t>
      </w:r>
      <w:r>
        <w:rPr>
          <w:spacing w:val="-4"/>
        </w:rPr>
        <w:t xml:space="preserve"> </w:t>
      </w:r>
      <w:r>
        <w:t>of</w:t>
      </w:r>
      <w:r>
        <w:rPr>
          <w:spacing w:val="-4"/>
        </w:rPr>
        <w:t xml:space="preserve"> </w:t>
      </w:r>
      <w:r>
        <w:t>these</w:t>
      </w:r>
      <w:r>
        <w:rPr>
          <w:spacing w:val="-3"/>
        </w:rPr>
        <w:t xml:space="preserve"> </w:t>
      </w:r>
      <w:r>
        <w:t>mobile</w:t>
      </w:r>
      <w:r>
        <w:rPr>
          <w:spacing w:val="-6"/>
        </w:rPr>
        <w:t xml:space="preserve"> </w:t>
      </w:r>
      <w:r>
        <w:t>surveys</w:t>
      </w:r>
      <w:r>
        <w:rPr>
          <w:spacing w:val="-4"/>
        </w:rPr>
        <w:t xml:space="preserve"> </w:t>
      </w:r>
      <w:r w:rsidR="005728FC">
        <w:t>will</w:t>
      </w:r>
      <w:r>
        <w:rPr>
          <w:spacing w:val="-3"/>
        </w:rPr>
        <w:t xml:space="preserve"> </w:t>
      </w:r>
      <w:r>
        <w:t>be</w:t>
      </w:r>
      <w:r>
        <w:rPr>
          <w:spacing w:val="-4"/>
        </w:rPr>
        <w:t xml:space="preserve"> </w:t>
      </w:r>
      <w:r>
        <w:t>expanded</w:t>
      </w:r>
      <w:r>
        <w:rPr>
          <w:spacing w:val="-4"/>
        </w:rPr>
        <w:t xml:space="preserve"> </w:t>
      </w:r>
      <w:r w:rsidR="005728FC">
        <w:t>increase</w:t>
      </w:r>
      <w:r>
        <w:t xml:space="preserve"> engagement across West London. Results of the survey will be included in the June</w:t>
      </w:r>
      <w:r>
        <w:rPr>
          <w:spacing w:val="-5"/>
        </w:rPr>
        <w:t xml:space="preserve"> </w:t>
      </w:r>
      <w:r>
        <w:t>report.</w:t>
      </w:r>
    </w:p>
    <w:p w:rsidR="00827313" w:rsidRDefault="00827313">
      <w:pPr>
        <w:pStyle w:val="BodyText"/>
        <w:rPr>
          <w:sz w:val="21"/>
        </w:rPr>
      </w:pPr>
    </w:p>
    <w:p w:rsidR="00827313" w:rsidRDefault="00AE6C59">
      <w:pPr>
        <w:pStyle w:val="BodyText"/>
        <w:ind w:left="1364" w:right="387"/>
        <w:jc w:val="both"/>
      </w:pPr>
      <w:r>
        <w:t>The pilot is currently achieving above the 70% active participation target with each property producing at least 1.25kg of food waste, totalling to 451.5kg per collection across the seven sites. To maintain participation, the team will continue with communication</w:t>
      </w:r>
      <w:r>
        <w:rPr>
          <w:spacing w:val="-10"/>
        </w:rPr>
        <w:t xml:space="preserve"> </w:t>
      </w:r>
      <w:r>
        <w:t>activities</w:t>
      </w:r>
      <w:r>
        <w:rPr>
          <w:spacing w:val="-9"/>
        </w:rPr>
        <w:t xml:space="preserve"> </w:t>
      </w:r>
      <w:r>
        <w:t>including</w:t>
      </w:r>
      <w:r>
        <w:rPr>
          <w:spacing w:val="-11"/>
        </w:rPr>
        <w:t xml:space="preserve"> </w:t>
      </w:r>
      <w:r>
        <w:t>placing</w:t>
      </w:r>
      <w:r>
        <w:rPr>
          <w:spacing w:val="-12"/>
        </w:rPr>
        <w:t xml:space="preserve"> </w:t>
      </w:r>
      <w:r>
        <w:t>encouraging</w:t>
      </w:r>
      <w:r>
        <w:rPr>
          <w:spacing w:val="-10"/>
        </w:rPr>
        <w:t xml:space="preserve"> </w:t>
      </w:r>
      <w:r>
        <w:t>posters</w:t>
      </w:r>
      <w:r>
        <w:rPr>
          <w:spacing w:val="-8"/>
        </w:rPr>
        <w:t xml:space="preserve"> </w:t>
      </w:r>
      <w:r>
        <w:t>at</w:t>
      </w:r>
      <w:r>
        <w:rPr>
          <w:spacing w:val="-11"/>
        </w:rPr>
        <w:t xml:space="preserve"> </w:t>
      </w:r>
      <w:r>
        <w:t>sites</w:t>
      </w:r>
      <w:r>
        <w:rPr>
          <w:spacing w:val="-9"/>
        </w:rPr>
        <w:t xml:space="preserve"> </w:t>
      </w:r>
      <w:r>
        <w:t>and</w:t>
      </w:r>
      <w:r>
        <w:rPr>
          <w:spacing w:val="-11"/>
        </w:rPr>
        <w:t xml:space="preserve"> </w:t>
      </w:r>
      <w:r>
        <w:t>carrying out regular maintenance of</w:t>
      </w:r>
      <w:r>
        <w:rPr>
          <w:spacing w:val="-3"/>
        </w:rPr>
        <w:t xml:space="preserve"> </w:t>
      </w:r>
      <w:r>
        <w:t>bins.</w:t>
      </w:r>
    </w:p>
    <w:p w:rsidR="00827313" w:rsidRDefault="00827313">
      <w:pPr>
        <w:jc w:val="both"/>
        <w:sectPr w:rsidR="00827313">
          <w:type w:val="continuous"/>
          <w:pgSz w:w="11910" w:h="16840"/>
          <w:pgMar w:top="700" w:right="740" w:bottom="280" w:left="580" w:header="720" w:footer="720" w:gutter="0"/>
          <w:cols w:space="720"/>
        </w:sectPr>
      </w:pPr>
    </w:p>
    <w:p w:rsidR="00827313" w:rsidRDefault="00AE6C59">
      <w:pPr>
        <w:pStyle w:val="BodyText"/>
        <w:ind w:left="140"/>
        <w:rPr>
          <w:sz w:val="20"/>
        </w:rPr>
      </w:pPr>
      <w:r>
        <w:rPr>
          <w:noProof/>
          <w:sz w:val="20"/>
          <w:lang w:bidi="ar-SA"/>
        </w:rPr>
        <w:lastRenderedPageBreak/>
        <w:drawing>
          <wp:inline distT="0" distB="0" distL="0" distR="0">
            <wp:extent cx="6540562" cy="42776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540562" cy="4277677"/>
                    </a:xfrm>
                    <a:prstGeom prst="rect">
                      <a:avLst/>
                    </a:prstGeom>
                  </pic:spPr>
                </pic:pic>
              </a:graphicData>
            </a:graphic>
          </wp:inline>
        </w:drawing>
      </w:r>
    </w:p>
    <w:p w:rsidR="00827313" w:rsidRDefault="00827313">
      <w:pPr>
        <w:pStyle w:val="BodyText"/>
        <w:spacing w:before="1"/>
        <w:rPr>
          <w:sz w:val="22"/>
        </w:rPr>
      </w:pPr>
    </w:p>
    <w:p w:rsidR="00827313" w:rsidRDefault="00942CE2">
      <w:pPr>
        <w:pStyle w:val="Heading1"/>
        <w:numPr>
          <w:ilvl w:val="1"/>
          <w:numId w:val="1"/>
        </w:numPr>
        <w:tabs>
          <w:tab w:val="left" w:pos="933"/>
        </w:tabs>
        <w:ind w:hanging="432"/>
      </w:pPr>
      <w:r>
        <w:t>Waste electronic and electrical equipment (</w:t>
      </w:r>
      <w:r w:rsidR="00AE6C59">
        <w:t>WEEE</w:t>
      </w:r>
      <w:r>
        <w:t>)</w:t>
      </w:r>
    </w:p>
    <w:p w:rsidR="00827313" w:rsidRDefault="00AE6C59">
      <w:pPr>
        <w:pStyle w:val="ListParagraph"/>
        <w:numPr>
          <w:ilvl w:val="2"/>
          <w:numId w:val="1"/>
        </w:numPr>
        <w:tabs>
          <w:tab w:val="left" w:pos="1504"/>
        </w:tabs>
        <w:ind w:right="390" w:hanging="504"/>
        <w:rPr>
          <w:sz w:val="24"/>
        </w:rPr>
      </w:pPr>
      <w:r>
        <w:rPr>
          <w:sz w:val="24"/>
        </w:rPr>
        <w:t>A</w:t>
      </w:r>
      <w:r>
        <w:rPr>
          <w:spacing w:val="-11"/>
          <w:sz w:val="24"/>
        </w:rPr>
        <w:t xml:space="preserve"> </w:t>
      </w:r>
      <w:r>
        <w:rPr>
          <w:sz w:val="24"/>
        </w:rPr>
        <w:t>new</w:t>
      </w:r>
      <w:r>
        <w:rPr>
          <w:spacing w:val="-14"/>
          <w:sz w:val="24"/>
        </w:rPr>
        <w:t xml:space="preserve"> </w:t>
      </w:r>
      <w:r>
        <w:rPr>
          <w:sz w:val="24"/>
        </w:rPr>
        <w:t>kerbside</w:t>
      </w:r>
      <w:r>
        <w:rPr>
          <w:spacing w:val="-17"/>
          <w:sz w:val="24"/>
        </w:rPr>
        <w:t xml:space="preserve"> </w:t>
      </w:r>
      <w:r>
        <w:rPr>
          <w:sz w:val="24"/>
        </w:rPr>
        <w:t>WEEE</w:t>
      </w:r>
      <w:r>
        <w:rPr>
          <w:spacing w:val="-12"/>
          <w:sz w:val="24"/>
        </w:rPr>
        <w:t xml:space="preserve"> </w:t>
      </w:r>
      <w:r>
        <w:rPr>
          <w:sz w:val="24"/>
        </w:rPr>
        <w:t>collection</w:t>
      </w:r>
      <w:r>
        <w:rPr>
          <w:spacing w:val="-10"/>
          <w:sz w:val="24"/>
        </w:rPr>
        <w:t xml:space="preserve"> </w:t>
      </w:r>
      <w:r>
        <w:rPr>
          <w:sz w:val="24"/>
        </w:rPr>
        <w:t>trial</w:t>
      </w:r>
      <w:r>
        <w:rPr>
          <w:spacing w:val="-12"/>
          <w:sz w:val="24"/>
        </w:rPr>
        <w:t xml:space="preserve"> </w:t>
      </w:r>
      <w:r>
        <w:rPr>
          <w:sz w:val="24"/>
        </w:rPr>
        <w:t>covering</w:t>
      </w:r>
      <w:r>
        <w:rPr>
          <w:spacing w:val="-12"/>
          <w:sz w:val="24"/>
        </w:rPr>
        <w:t xml:space="preserve"> </w:t>
      </w:r>
      <w:r>
        <w:rPr>
          <w:sz w:val="24"/>
        </w:rPr>
        <w:t>11,000</w:t>
      </w:r>
      <w:r>
        <w:rPr>
          <w:spacing w:val="-13"/>
          <w:sz w:val="24"/>
        </w:rPr>
        <w:t xml:space="preserve"> </w:t>
      </w:r>
      <w:r>
        <w:rPr>
          <w:sz w:val="24"/>
        </w:rPr>
        <w:t>properties</w:t>
      </w:r>
      <w:r>
        <w:rPr>
          <w:spacing w:val="-13"/>
          <w:sz w:val="24"/>
        </w:rPr>
        <w:t xml:space="preserve"> </w:t>
      </w:r>
      <w:r>
        <w:rPr>
          <w:sz w:val="24"/>
        </w:rPr>
        <w:t>in</w:t>
      </w:r>
      <w:r>
        <w:rPr>
          <w:spacing w:val="-13"/>
          <w:sz w:val="24"/>
        </w:rPr>
        <w:t xml:space="preserve"> </w:t>
      </w:r>
      <w:r>
        <w:rPr>
          <w:sz w:val="24"/>
        </w:rPr>
        <w:t>Harrow,</w:t>
      </w:r>
      <w:r>
        <w:rPr>
          <w:spacing w:val="-10"/>
          <w:sz w:val="24"/>
        </w:rPr>
        <w:t xml:space="preserve"> </w:t>
      </w:r>
      <w:r>
        <w:rPr>
          <w:sz w:val="24"/>
        </w:rPr>
        <w:t>funded by DEFRA commenced in June 2018. The pilot ran weekly for six months to encourage diversion of electrical items from the general residual</w:t>
      </w:r>
      <w:r>
        <w:rPr>
          <w:spacing w:val="-12"/>
          <w:sz w:val="24"/>
        </w:rPr>
        <w:t xml:space="preserve"> </w:t>
      </w:r>
      <w:r>
        <w:rPr>
          <w:sz w:val="24"/>
        </w:rPr>
        <w:t>stream.</w:t>
      </w:r>
    </w:p>
    <w:p w:rsidR="00827313" w:rsidRDefault="00827313">
      <w:pPr>
        <w:pStyle w:val="BodyText"/>
        <w:spacing w:before="10"/>
        <w:rPr>
          <w:sz w:val="20"/>
        </w:rPr>
      </w:pPr>
    </w:p>
    <w:p w:rsidR="00827313" w:rsidRDefault="00AE6C59">
      <w:pPr>
        <w:pStyle w:val="BodyText"/>
        <w:ind w:left="1364" w:right="389"/>
        <w:jc w:val="both"/>
      </w:pPr>
      <w:r>
        <w:t xml:space="preserve">The pilot yielded 8.21 tonnes of WEEE items collected from 522 households </w:t>
      </w:r>
      <w:r w:rsidR="008D3CC2">
        <w:t>equating to an average of 16.75kg per collection.  Participation rates were low, at</w:t>
      </w:r>
      <w:r>
        <w:t xml:space="preserve"> 4.7%.</w:t>
      </w:r>
    </w:p>
    <w:p w:rsidR="00827313" w:rsidRDefault="00827313">
      <w:pPr>
        <w:pStyle w:val="BodyText"/>
        <w:spacing w:before="10"/>
        <w:rPr>
          <w:sz w:val="20"/>
        </w:rPr>
      </w:pPr>
    </w:p>
    <w:p w:rsidR="00827313" w:rsidRDefault="00AE6C59">
      <w:pPr>
        <w:pStyle w:val="BodyText"/>
        <w:ind w:left="1364"/>
      </w:pPr>
      <w:r>
        <w:t>Key learnings from the pilot included:</w:t>
      </w:r>
    </w:p>
    <w:p w:rsidR="00827313" w:rsidRDefault="00827313">
      <w:pPr>
        <w:pStyle w:val="BodyText"/>
        <w:spacing w:before="11"/>
        <w:rPr>
          <w:sz w:val="20"/>
        </w:rPr>
      </w:pPr>
    </w:p>
    <w:p w:rsidR="00827313" w:rsidRDefault="00AE6C59">
      <w:pPr>
        <w:pStyle w:val="ListParagraph"/>
        <w:numPr>
          <w:ilvl w:val="3"/>
          <w:numId w:val="1"/>
        </w:numPr>
        <w:tabs>
          <w:tab w:val="left" w:pos="2085"/>
        </w:tabs>
        <w:spacing w:before="0" w:line="271" w:lineRule="auto"/>
        <w:ind w:right="390"/>
        <w:rPr>
          <w:sz w:val="24"/>
        </w:rPr>
      </w:pPr>
      <w:r>
        <w:rPr>
          <w:sz w:val="24"/>
        </w:rPr>
        <w:t>The pilot increased general WEEE recycling awareness; Forward Drive experienced an increased WEEE tonnage collected during the pilot</w:t>
      </w:r>
      <w:r>
        <w:rPr>
          <w:spacing w:val="-19"/>
          <w:sz w:val="24"/>
        </w:rPr>
        <w:t xml:space="preserve"> </w:t>
      </w:r>
      <w:r>
        <w:rPr>
          <w:sz w:val="24"/>
        </w:rPr>
        <w:t>period</w:t>
      </w:r>
    </w:p>
    <w:p w:rsidR="00827313" w:rsidRDefault="00AE6C59">
      <w:pPr>
        <w:pStyle w:val="ListParagraph"/>
        <w:numPr>
          <w:ilvl w:val="3"/>
          <w:numId w:val="1"/>
        </w:numPr>
        <w:tabs>
          <w:tab w:val="left" w:pos="2085"/>
        </w:tabs>
        <w:spacing w:before="9" w:line="273" w:lineRule="auto"/>
        <w:ind w:right="389"/>
        <w:rPr>
          <w:sz w:val="24"/>
        </w:rPr>
      </w:pPr>
      <w:r>
        <w:rPr>
          <w:sz w:val="24"/>
        </w:rPr>
        <w:t>Future WEEE related projects should consider having shorter collection periods as approximately 49% of requests were made during the last two months of the</w:t>
      </w:r>
      <w:r>
        <w:rPr>
          <w:spacing w:val="-3"/>
          <w:sz w:val="24"/>
        </w:rPr>
        <w:t xml:space="preserve"> </w:t>
      </w:r>
      <w:r>
        <w:rPr>
          <w:sz w:val="24"/>
        </w:rPr>
        <w:t>project</w:t>
      </w:r>
    </w:p>
    <w:p w:rsidR="00827313" w:rsidRDefault="00AE6C59">
      <w:pPr>
        <w:pStyle w:val="ListParagraph"/>
        <w:numPr>
          <w:ilvl w:val="3"/>
          <w:numId w:val="1"/>
        </w:numPr>
        <w:tabs>
          <w:tab w:val="left" w:pos="2085"/>
        </w:tabs>
        <w:spacing w:before="2" w:line="273" w:lineRule="auto"/>
        <w:ind w:right="387"/>
        <w:rPr>
          <w:sz w:val="24"/>
        </w:rPr>
      </w:pPr>
      <w:r>
        <w:rPr>
          <w:sz w:val="24"/>
        </w:rPr>
        <w:t>Majority</w:t>
      </w:r>
      <w:r>
        <w:rPr>
          <w:spacing w:val="-13"/>
          <w:sz w:val="24"/>
        </w:rPr>
        <w:t xml:space="preserve"> </w:t>
      </w:r>
      <w:r>
        <w:rPr>
          <w:sz w:val="24"/>
        </w:rPr>
        <w:t>of</w:t>
      </w:r>
      <w:r>
        <w:rPr>
          <w:spacing w:val="-8"/>
          <w:sz w:val="24"/>
        </w:rPr>
        <w:t xml:space="preserve"> </w:t>
      </w:r>
      <w:r>
        <w:rPr>
          <w:sz w:val="24"/>
        </w:rPr>
        <w:t>items</w:t>
      </w:r>
      <w:r>
        <w:rPr>
          <w:spacing w:val="-11"/>
          <w:sz w:val="24"/>
        </w:rPr>
        <w:t xml:space="preserve"> </w:t>
      </w:r>
      <w:r>
        <w:rPr>
          <w:sz w:val="24"/>
        </w:rPr>
        <w:t>collected</w:t>
      </w:r>
      <w:r>
        <w:rPr>
          <w:spacing w:val="-11"/>
          <w:sz w:val="24"/>
        </w:rPr>
        <w:t xml:space="preserve"> </w:t>
      </w:r>
      <w:r>
        <w:rPr>
          <w:sz w:val="24"/>
        </w:rPr>
        <w:t>were</w:t>
      </w:r>
      <w:r>
        <w:rPr>
          <w:spacing w:val="-10"/>
          <w:sz w:val="24"/>
        </w:rPr>
        <w:t xml:space="preserve"> </w:t>
      </w:r>
      <w:r>
        <w:rPr>
          <w:sz w:val="24"/>
        </w:rPr>
        <w:t>small</w:t>
      </w:r>
      <w:r>
        <w:rPr>
          <w:spacing w:val="-12"/>
          <w:sz w:val="24"/>
        </w:rPr>
        <w:t xml:space="preserve"> </w:t>
      </w:r>
      <w:r>
        <w:rPr>
          <w:sz w:val="24"/>
        </w:rPr>
        <w:t>and</w:t>
      </w:r>
      <w:r>
        <w:rPr>
          <w:spacing w:val="-11"/>
          <w:sz w:val="24"/>
        </w:rPr>
        <w:t xml:space="preserve"> </w:t>
      </w:r>
      <w:r>
        <w:rPr>
          <w:sz w:val="24"/>
        </w:rPr>
        <w:t>light</w:t>
      </w:r>
      <w:r>
        <w:rPr>
          <w:spacing w:val="-10"/>
          <w:sz w:val="24"/>
        </w:rPr>
        <w:t xml:space="preserve"> </w:t>
      </w:r>
      <w:r>
        <w:rPr>
          <w:sz w:val="24"/>
        </w:rPr>
        <w:t>weight</w:t>
      </w:r>
      <w:r>
        <w:rPr>
          <w:spacing w:val="-10"/>
          <w:sz w:val="24"/>
        </w:rPr>
        <w:t xml:space="preserve"> </w:t>
      </w:r>
      <w:r>
        <w:rPr>
          <w:sz w:val="24"/>
        </w:rPr>
        <w:t>(phones</w:t>
      </w:r>
      <w:r>
        <w:rPr>
          <w:spacing w:val="-11"/>
          <w:sz w:val="24"/>
        </w:rPr>
        <w:t xml:space="preserve"> </w:t>
      </w:r>
      <w:r>
        <w:rPr>
          <w:sz w:val="24"/>
        </w:rPr>
        <w:t>were</w:t>
      </w:r>
      <w:r>
        <w:rPr>
          <w:spacing w:val="-11"/>
          <w:sz w:val="24"/>
        </w:rPr>
        <w:t xml:space="preserve"> </w:t>
      </w:r>
      <w:r>
        <w:rPr>
          <w:sz w:val="24"/>
        </w:rPr>
        <w:t>the</w:t>
      </w:r>
      <w:r>
        <w:rPr>
          <w:spacing w:val="-10"/>
          <w:sz w:val="24"/>
        </w:rPr>
        <w:t xml:space="preserve"> </w:t>
      </w:r>
      <w:r>
        <w:rPr>
          <w:sz w:val="24"/>
        </w:rPr>
        <w:t>most collected item), making up approximately 11% of all items</w:t>
      </w:r>
      <w:r>
        <w:rPr>
          <w:spacing w:val="-15"/>
          <w:sz w:val="24"/>
        </w:rPr>
        <w:t xml:space="preserve"> </w:t>
      </w:r>
      <w:r>
        <w:rPr>
          <w:sz w:val="24"/>
        </w:rPr>
        <w:t>collected</w:t>
      </w:r>
    </w:p>
    <w:p w:rsidR="008D3CC2" w:rsidRDefault="00AE6C59">
      <w:pPr>
        <w:pStyle w:val="BodyText"/>
        <w:spacing w:before="203"/>
        <w:ind w:left="1364" w:right="387"/>
        <w:jc w:val="both"/>
      </w:pPr>
      <w:r>
        <w:t>Following up with the pilot, Harrow Council is looking to roll-out a WEEE collection service for one month across each ward. A business c</w:t>
      </w:r>
      <w:r w:rsidR="00942CE2">
        <w:t>ase is currently in development which will inform our response to the consultation on WEEE producer responsibility later in 2019.</w:t>
      </w:r>
    </w:p>
    <w:p w:rsidR="00827313" w:rsidRDefault="008D3CC2">
      <w:pPr>
        <w:pStyle w:val="BodyText"/>
        <w:spacing w:before="203"/>
        <w:ind w:left="1364" w:right="387"/>
        <w:jc w:val="both"/>
      </w:pPr>
      <w:r>
        <w:t>Further ideas for development are the importance of secure data destruction which we will investigate trialling in a commercial environment.  Additionally</w:t>
      </w:r>
      <w:r w:rsidR="00942CE2">
        <w:t>,</w:t>
      </w:r>
      <w:r>
        <w:t xml:space="preserve"> the high cost of operating a </w:t>
      </w:r>
      <w:r w:rsidR="00942CE2">
        <w:t>WEEE</w:t>
      </w:r>
      <w:r>
        <w:t xml:space="preserve"> collection highlighted the importance of ensuring producer</w:t>
      </w:r>
      <w:r w:rsidR="00942CE2">
        <w:t>s pay</w:t>
      </w:r>
      <w:r>
        <w:t xml:space="preserve"> to gather all remaining </w:t>
      </w:r>
      <w:r w:rsidR="00942CE2">
        <w:t>WEEE</w:t>
      </w:r>
      <w:r>
        <w:t xml:space="preserve"> hoarded at home.</w:t>
      </w:r>
    </w:p>
    <w:p w:rsidR="00827313" w:rsidRDefault="00827313">
      <w:pPr>
        <w:jc w:val="both"/>
      </w:pPr>
    </w:p>
    <w:p w:rsidR="008D3CC2" w:rsidRDefault="008D3CC2">
      <w:pPr>
        <w:jc w:val="both"/>
      </w:pPr>
    </w:p>
    <w:p w:rsidR="008D3CC2" w:rsidRDefault="008D3CC2" w:rsidP="008D3CC2">
      <w:pPr>
        <w:jc w:val="both"/>
        <w:sectPr w:rsidR="008D3CC2">
          <w:pgSz w:w="11910" w:h="16840"/>
          <w:pgMar w:top="700" w:right="740" w:bottom="280" w:left="580" w:header="720" w:footer="720" w:gutter="0"/>
          <w:cols w:space="720"/>
        </w:sectPr>
      </w:pPr>
      <w:r>
        <w:tab/>
      </w:r>
    </w:p>
    <w:p w:rsidR="00827313" w:rsidRDefault="00AE6C59">
      <w:pPr>
        <w:pStyle w:val="ListParagraph"/>
        <w:numPr>
          <w:ilvl w:val="2"/>
          <w:numId w:val="1"/>
        </w:numPr>
        <w:tabs>
          <w:tab w:val="left" w:pos="1504"/>
        </w:tabs>
        <w:spacing w:before="79" w:line="276" w:lineRule="auto"/>
        <w:ind w:right="387" w:hanging="504"/>
        <w:rPr>
          <w:sz w:val="24"/>
        </w:rPr>
      </w:pPr>
      <w:r>
        <w:rPr>
          <w:sz w:val="24"/>
        </w:rPr>
        <w:lastRenderedPageBreak/>
        <w:t>A series of New Year’s WEEE collections recently wrapped up covering venues including Tricycle Theatre, Richmond Civic Centre, Gayton Library and Chiswick Library. A stand was set-up with information and used as a drop-off point for residents who wished to re</w:t>
      </w:r>
      <w:r w:rsidR="00031376">
        <w:rPr>
          <w:sz w:val="24"/>
        </w:rPr>
        <w:t>cycle their WEEE. A total of 916</w:t>
      </w:r>
      <w:r>
        <w:rPr>
          <w:sz w:val="24"/>
        </w:rPr>
        <w:t xml:space="preserve"> WEEE items </w:t>
      </w:r>
      <w:r w:rsidR="003032BB">
        <w:rPr>
          <w:sz w:val="24"/>
        </w:rPr>
        <w:t xml:space="preserve">weighing </w:t>
      </w:r>
      <w:r w:rsidR="00031376">
        <w:rPr>
          <w:sz w:val="24"/>
        </w:rPr>
        <w:t>100</w:t>
      </w:r>
      <w:r>
        <w:rPr>
          <w:sz w:val="24"/>
        </w:rPr>
        <w:t>0kg were</w:t>
      </w:r>
      <w:r>
        <w:rPr>
          <w:spacing w:val="-1"/>
          <w:sz w:val="24"/>
        </w:rPr>
        <w:t xml:space="preserve"> </w:t>
      </w:r>
      <w:r>
        <w:rPr>
          <w:sz w:val="24"/>
        </w:rPr>
        <w:t>collected.</w:t>
      </w:r>
    </w:p>
    <w:p w:rsidR="00827313" w:rsidRDefault="00827313">
      <w:pPr>
        <w:pStyle w:val="BodyText"/>
        <w:spacing w:before="3"/>
        <w:rPr>
          <w:sz w:val="25"/>
        </w:rPr>
      </w:pPr>
    </w:p>
    <w:tbl>
      <w:tblPr>
        <w:tblW w:w="0" w:type="auto"/>
        <w:tblInd w:w="1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0"/>
        <w:gridCol w:w="3159"/>
        <w:gridCol w:w="1254"/>
      </w:tblGrid>
      <w:tr w:rsidR="00827313">
        <w:trPr>
          <w:trHeight w:val="268"/>
        </w:trPr>
        <w:tc>
          <w:tcPr>
            <w:tcW w:w="2230" w:type="dxa"/>
          </w:tcPr>
          <w:p w:rsidR="00827313" w:rsidRDefault="00827313">
            <w:pPr>
              <w:pStyle w:val="TableParagraph"/>
              <w:rPr>
                <w:rFonts w:ascii="Times New Roman"/>
                <w:sz w:val="18"/>
              </w:rPr>
            </w:pPr>
          </w:p>
        </w:tc>
        <w:tc>
          <w:tcPr>
            <w:tcW w:w="3159" w:type="dxa"/>
          </w:tcPr>
          <w:p w:rsidR="00827313" w:rsidRDefault="00AE6C59">
            <w:pPr>
              <w:pStyle w:val="TableParagraph"/>
              <w:spacing w:line="248" w:lineRule="exact"/>
              <w:ind w:right="94"/>
              <w:jc w:val="right"/>
              <w:rPr>
                <w:rFonts w:ascii="Calibri"/>
              </w:rPr>
            </w:pPr>
            <w:r>
              <w:rPr>
                <w:rFonts w:ascii="Calibri"/>
              </w:rPr>
              <w:t>Number of WEEE items collected</w:t>
            </w:r>
          </w:p>
        </w:tc>
        <w:tc>
          <w:tcPr>
            <w:tcW w:w="1254" w:type="dxa"/>
          </w:tcPr>
          <w:p w:rsidR="00827313" w:rsidRDefault="00AE6C59">
            <w:pPr>
              <w:pStyle w:val="TableParagraph"/>
              <w:spacing w:line="248" w:lineRule="exact"/>
              <w:ind w:right="95"/>
              <w:jc w:val="right"/>
              <w:rPr>
                <w:rFonts w:ascii="Calibri"/>
              </w:rPr>
            </w:pPr>
            <w:r>
              <w:rPr>
                <w:rFonts w:ascii="Calibri"/>
              </w:rPr>
              <w:t>Weight (kg)</w:t>
            </w:r>
          </w:p>
        </w:tc>
      </w:tr>
      <w:tr w:rsidR="00827313">
        <w:trPr>
          <w:trHeight w:val="268"/>
        </w:trPr>
        <w:tc>
          <w:tcPr>
            <w:tcW w:w="2230" w:type="dxa"/>
          </w:tcPr>
          <w:p w:rsidR="00827313" w:rsidRDefault="00AE6C59">
            <w:pPr>
              <w:pStyle w:val="TableParagraph"/>
              <w:spacing w:line="248" w:lineRule="exact"/>
              <w:ind w:right="94"/>
              <w:jc w:val="right"/>
              <w:rPr>
                <w:rFonts w:ascii="Calibri"/>
              </w:rPr>
            </w:pPr>
            <w:r>
              <w:rPr>
                <w:rFonts w:ascii="Calibri"/>
              </w:rPr>
              <w:t>Kiln Theatre</w:t>
            </w:r>
          </w:p>
        </w:tc>
        <w:tc>
          <w:tcPr>
            <w:tcW w:w="3159" w:type="dxa"/>
          </w:tcPr>
          <w:p w:rsidR="00827313" w:rsidRDefault="00AE6C59">
            <w:pPr>
              <w:pStyle w:val="TableParagraph"/>
              <w:spacing w:line="248" w:lineRule="exact"/>
              <w:ind w:right="94"/>
              <w:jc w:val="right"/>
              <w:rPr>
                <w:rFonts w:ascii="Calibri"/>
              </w:rPr>
            </w:pPr>
            <w:r>
              <w:rPr>
                <w:rFonts w:ascii="Calibri"/>
              </w:rPr>
              <w:t>131</w:t>
            </w:r>
          </w:p>
        </w:tc>
        <w:tc>
          <w:tcPr>
            <w:tcW w:w="1254" w:type="dxa"/>
          </w:tcPr>
          <w:p w:rsidR="00827313" w:rsidRDefault="00AE6C59">
            <w:pPr>
              <w:pStyle w:val="TableParagraph"/>
              <w:spacing w:line="248" w:lineRule="exact"/>
              <w:ind w:right="96"/>
              <w:jc w:val="right"/>
              <w:rPr>
                <w:rFonts w:ascii="Calibri"/>
              </w:rPr>
            </w:pPr>
            <w:r>
              <w:rPr>
                <w:rFonts w:ascii="Calibri"/>
              </w:rPr>
              <w:t>240</w:t>
            </w:r>
          </w:p>
        </w:tc>
      </w:tr>
      <w:tr w:rsidR="00827313">
        <w:trPr>
          <w:trHeight w:val="268"/>
        </w:trPr>
        <w:tc>
          <w:tcPr>
            <w:tcW w:w="2230" w:type="dxa"/>
          </w:tcPr>
          <w:p w:rsidR="00827313" w:rsidRDefault="00AE6C59">
            <w:pPr>
              <w:pStyle w:val="TableParagraph"/>
              <w:spacing w:line="248" w:lineRule="exact"/>
              <w:ind w:right="95"/>
              <w:jc w:val="right"/>
              <w:rPr>
                <w:rFonts w:ascii="Calibri"/>
              </w:rPr>
            </w:pPr>
            <w:r>
              <w:rPr>
                <w:rFonts w:ascii="Calibri"/>
              </w:rPr>
              <w:t>Gayton Library</w:t>
            </w:r>
          </w:p>
        </w:tc>
        <w:tc>
          <w:tcPr>
            <w:tcW w:w="3159" w:type="dxa"/>
          </w:tcPr>
          <w:p w:rsidR="00827313" w:rsidRDefault="00AE6C59">
            <w:pPr>
              <w:pStyle w:val="TableParagraph"/>
              <w:spacing w:line="248" w:lineRule="exact"/>
              <w:ind w:right="94"/>
              <w:jc w:val="right"/>
              <w:rPr>
                <w:rFonts w:ascii="Calibri"/>
              </w:rPr>
            </w:pPr>
            <w:r>
              <w:rPr>
                <w:rFonts w:ascii="Calibri"/>
              </w:rPr>
              <w:t>320</w:t>
            </w:r>
          </w:p>
        </w:tc>
        <w:tc>
          <w:tcPr>
            <w:tcW w:w="1254" w:type="dxa"/>
          </w:tcPr>
          <w:p w:rsidR="00827313" w:rsidRDefault="00AE6C59">
            <w:pPr>
              <w:pStyle w:val="TableParagraph"/>
              <w:spacing w:line="248" w:lineRule="exact"/>
              <w:ind w:right="96"/>
              <w:jc w:val="right"/>
              <w:rPr>
                <w:rFonts w:ascii="Calibri"/>
              </w:rPr>
            </w:pPr>
            <w:r>
              <w:rPr>
                <w:rFonts w:ascii="Calibri"/>
              </w:rPr>
              <w:t>280</w:t>
            </w:r>
          </w:p>
        </w:tc>
      </w:tr>
      <w:tr w:rsidR="00827313">
        <w:trPr>
          <w:trHeight w:val="268"/>
        </w:trPr>
        <w:tc>
          <w:tcPr>
            <w:tcW w:w="2230" w:type="dxa"/>
          </w:tcPr>
          <w:p w:rsidR="00827313" w:rsidRDefault="00AE6C59">
            <w:pPr>
              <w:pStyle w:val="TableParagraph"/>
              <w:spacing w:line="248" w:lineRule="exact"/>
              <w:ind w:right="94"/>
              <w:jc w:val="right"/>
              <w:rPr>
                <w:rFonts w:ascii="Calibri"/>
              </w:rPr>
            </w:pPr>
            <w:r>
              <w:rPr>
                <w:rFonts w:ascii="Calibri"/>
              </w:rPr>
              <w:t>Chiswick Library</w:t>
            </w:r>
          </w:p>
        </w:tc>
        <w:tc>
          <w:tcPr>
            <w:tcW w:w="3159" w:type="dxa"/>
          </w:tcPr>
          <w:p w:rsidR="00827313" w:rsidRDefault="00AE6C59">
            <w:pPr>
              <w:pStyle w:val="TableParagraph"/>
              <w:spacing w:line="248" w:lineRule="exact"/>
              <w:ind w:right="93"/>
              <w:jc w:val="right"/>
              <w:rPr>
                <w:rFonts w:ascii="Calibri"/>
              </w:rPr>
            </w:pPr>
            <w:r>
              <w:rPr>
                <w:rFonts w:ascii="Calibri"/>
              </w:rPr>
              <w:t>66</w:t>
            </w:r>
          </w:p>
        </w:tc>
        <w:tc>
          <w:tcPr>
            <w:tcW w:w="1254" w:type="dxa"/>
          </w:tcPr>
          <w:p w:rsidR="00827313" w:rsidRDefault="00AE6C59">
            <w:pPr>
              <w:pStyle w:val="TableParagraph"/>
              <w:spacing w:line="248" w:lineRule="exact"/>
              <w:ind w:right="96"/>
              <w:jc w:val="right"/>
              <w:rPr>
                <w:rFonts w:ascii="Calibri"/>
              </w:rPr>
            </w:pPr>
            <w:r>
              <w:rPr>
                <w:rFonts w:ascii="Calibri"/>
              </w:rPr>
              <w:t>140</w:t>
            </w:r>
          </w:p>
        </w:tc>
      </w:tr>
      <w:tr w:rsidR="00827313">
        <w:trPr>
          <w:trHeight w:val="268"/>
        </w:trPr>
        <w:tc>
          <w:tcPr>
            <w:tcW w:w="2230" w:type="dxa"/>
          </w:tcPr>
          <w:p w:rsidR="00827313" w:rsidRDefault="00AE6C59">
            <w:pPr>
              <w:pStyle w:val="TableParagraph"/>
              <w:spacing w:line="248" w:lineRule="exact"/>
              <w:ind w:right="95"/>
              <w:jc w:val="right"/>
              <w:rPr>
                <w:rFonts w:ascii="Calibri"/>
              </w:rPr>
            </w:pPr>
            <w:r>
              <w:rPr>
                <w:rFonts w:ascii="Calibri"/>
              </w:rPr>
              <w:t>Richmond Civic Centre</w:t>
            </w:r>
          </w:p>
        </w:tc>
        <w:tc>
          <w:tcPr>
            <w:tcW w:w="3159" w:type="dxa"/>
          </w:tcPr>
          <w:p w:rsidR="00827313" w:rsidRDefault="00AE6C59">
            <w:pPr>
              <w:pStyle w:val="TableParagraph"/>
              <w:spacing w:line="248" w:lineRule="exact"/>
              <w:ind w:right="94"/>
              <w:jc w:val="right"/>
              <w:rPr>
                <w:rFonts w:ascii="Calibri"/>
              </w:rPr>
            </w:pPr>
            <w:r>
              <w:rPr>
                <w:rFonts w:ascii="Calibri"/>
              </w:rPr>
              <w:t>334</w:t>
            </w:r>
          </w:p>
        </w:tc>
        <w:tc>
          <w:tcPr>
            <w:tcW w:w="1254" w:type="dxa"/>
          </w:tcPr>
          <w:p w:rsidR="00827313" w:rsidRDefault="00AE6C59">
            <w:pPr>
              <w:pStyle w:val="TableParagraph"/>
              <w:spacing w:line="248" w:lineRule="exact"/>
              <w:ind w:right="96"/>
              <w:jc w:val="right"/>
              <w:rPr>
                <w:rFonts w:ascii="Calibri"/>
              </w:rPr>
            </w:pPr>
            <w:r>
              <w:rPr>
                <w:rFonts w:ascii="Calibri"/>
              </w:rPr>
              <w:t>300</w:t>
            </w:r>
          </w:p>
        </w:tc>
      </w:tr>
      <w:tr w:rsidR="00827313">
        <w:trPr>
          <w:trHeight w:val="268"/>
        </w:trPr>
        <w:tc>
          <w:tcPr>
            <w:tcW w:w="2230" w:type="dxa"/>
          </w:tcPr>
          <w:p w:rsidR="00827313" w:rsidRPr="00031376" w:rsidRDefault="00031376">
            <w:pPr>
              <w:pStyle w:val="TableParagraph"/>
              <w:spacing w:line="248" w:lineRule="exact"/>
              <w:ind w:right="94"/>
              <w:jc w:val="right"/>
              <w:rPr>
                <w:rFonts w:ascii="Calibri"/>
              </w:rPr>
            </w:pPr>
            <w:r w:rsidRPr="00031376">
              <w:rPr>
                <w:rFonts w:ascii="Calibri"/>
              </w:rPr>
              <w:t>Uxbridge Library</w:t>
            </w:r>
          </w:p>
        </w:tc>
        <w:tc>
          <w:tcPr>
            <w:tcW w:w="3159" w:type="dxa"/>
          </w:tcPr>
          <w:p w:rsidR="00827313" w:rsidRPr="00031376" w:rsidRDefault="00031376">
            <w:pPr>
              <w:pStyle w:val="TableParagraph"/>
              <w:spacing w:line="248" w:lineRule="exact"/>
              <w:ind w:right="94"/>
              <w:jc w:val="right"/>
              <w:rPr>
                <w:rFonts w:ascii="Calibri"/>
              </w:rPr>
            </w:pPr>
            <w:r w:rsidRPr="00031376">
              <w:rPr>
                <w:rFonts w:ascii="Calibri"/>
              </w:rPr>
              <w:t>65</w:t>
            </w:r>
          </w:p>
        </w:tc>
        <w:tc>
          <w:tcPr>
            <w:tcW w:w="1254" w:type="dxa"/>
          </w:tcPr>
          <w:p w:rsidR="00827313" w:rsidRPr="00031376" w:rsidRDefault="00031376">
            <w:pPr>
              <w:pStyle w:val="TableParagraph"/>
              <w:spacing w:line="248" w:lineRule="exact"/>
              <w:ind w:right="96"/>
              <w:jc w:val="right"/>
              <w:rPr>
                <w:rFonts w:ascii="Calibri"/>
              </w:rPr>
            </w:pPr>
            <w:r w:rsidRPr="00031376">
              <w:rPr>
                <w:rFonts w:ascii="Calibri"/>
              </w:rPr>
              <w:t>40</w:t>
            </w:r>
          </w:p>
        </w:tc>
      </w:tr>
      <w:tr w:rsidR="00031376">
        <w:trPr>
          <w:trHeight w:val="268"/>
        </w:trPr>
        <w:tc>
          <w:tcPr>
            <w:tcW w:w="2230" w:type="dxa"/>
          </w:tcPr>
          <w:p w:rsidR="00031376" w:rsidRDefault="00031376" w:rsidP="00031376">
            <w:pPr>
              <w:pStyle w:val="TableParagraph"/>
              <w:spacing w:line="248" w:lineRule="exact"/>
              <w:ind w:right="94"/>
              <w:jc w:val="right"/>
              <w:rPr>
                <w:rFonts w:ascii="Calibri"/>
                <w:b/>
              </w:rPr>
            </w:pPr>
            <w:r>
              <w:rPr>
                <w:rFonts w:ascii="Calibri"/>
                <w:b/>
              </w:rPr>
              <w:t>Total</w:t>
            </w:r>
          </w:p>
        </w:tc>
        <w:tc>
          <w:tcPr>
            <w:tcW w:w="3159" w:type="dxa"/>
          </w:tcPr>
          <w:p w:rsidR="00031376" w:rsidRDefault="00031376" w:rsidP="00031376">
            <w:pPr>
              <w:pStyle w:val="TableParagraph"/>
              <w:spacing w:line="248" w:lineRule="exact"/>
              <w:ind w:right="94"/>
              <w:jc w:val="right"/>
              <w:rPr>
                <w:rFonts w:ascii="Calibri"/>
                <w:b/>
              </w:rPr>
            </w:pPr>
            <w:r>
              <w:rPr>
                <w:rFonts w:ascii="Calibri"/>
                <w:b/>
              </w:rPr>
              <w:t>916</w:t>
            </w:r>
          </w:p>
        </w:tc>
        <w:tc>
          <w:tcPr>
            <w:tcW w:w="1254" w:type="dxa"/>
          </w:tcPr>
          <w:p w:rsidR="00031376" w:rsidRDefault="00031376" w:rsidP="00031376">
            <w:pPr>
              <w:pStyle w:val="TableParagraph"/>
              <w:spacing w:line="248" w:lineRule="exact"/>
              <w:ind w:right="96"/>
              <w:jc w:val="right"/>
              <w:rPr>
                <w:rFonts w:ascii="Calibri"/>
                <w:b/>
              </w:rPr>
            </w:pPr>
            <w:r>
              <w:rPr>
                <w:rFonts w:ascii="Calibri"/>
                <w:b/>
              </w:rPr>
              <w:t>1000</w:t>
            </w:r>
          </w:p>
        </w:tc>
      </w:tr>
    </w:tbl>
    <w:p w:rsidR="00827313" w:rsidRDefault="00827313">
      <w:pPr>
        <w:pStyle w:val="BodyText"/>
        <w:spacing w:before="2"/>
        <w:rPr>
          <w:sz w:val="26"/>
        </w:rPr>
      </w:pPr>
    </w:p>
    <w:p w:rsidR="007E000F" w:rsidRDefault="00AE6C59" w:rsidP="007E000F">
      <w:pPr>
        <w:pStyle w:val="BodyText"/>
        <w:ind w:left="1364" w:right="386"/>
        <w:jc w:val="both"/>
      </w:pPr>
      <w:r>
        <w:t xml:space="preserve">WEEE tonnage between 2017 and 2018 </w:t>
      </w:r>
      <w:r w:rsidR="007E000F">
        <w:t>has remained steady</w:t>
      </w:r>
      <w:r>
        <w:t xml:space="preserve"> </w:t>
      </w:r>
      <w:r w:rsidR="00005A56">
        <w:t>however;</w:t>
      </w:r>
      <w:r>
        <w:t xml:space="preserve"> </w:t>
      </w:r>
      <w:r w:rsidR="007E000F">
        <w:t xml:space="preserve">tonnes </w:t>
      </w:r>
      <w:r>
        <w:t>collecte</w:t>
      </w:r>
      <w:r w:rsidR="007E000F">
        <w:t>d</w:t>
      </w:r>
      <w:r>
        <w:t xml:space="preserve"> at HRRCs during January 2019 </w:t>
      </w:r>
      <w:r w:rsidR="007E000F">
        <w:t xml:space="preserve">increased 27% in </w:t>
      </w:r>
      <w:r>
        <w:t>compar</w:t>
      </w:r>
      <w:r w:rsidR="007E000F">
        <w:t>ison to the previous year with three HRRCs yielding an increase.</w:t>
      </w:r>
    </w:p>
    <w:p w:rsidR="00005A56" w:rsidRDefault="00005A56" w:rsidP="007E000F">
      <w:pPr>
        <w:pStyle w:val="BodyText"/>
        <w:ind w:left="1364" w:right="386"/>
        <w:jc w:val="both"/>
      </w:pPr>
    </w:p>
    <w:p w:rsidR="005B15C9" w:rsidRDefault="005B15C9" w:rsidP="005B15C9">
      <w:pPr>
        <w:pStyle w:val="BodyText"/>
        <w:spacing w:before="4"/>
        <w:jc w:val="center"/>
      </w:pPr>
      <w:r>
        <w:rPr>
          <w:noProof/>
          <w:sz w:val="20"/>
          <w:lang w:bidi="ar-SA"/>
        </w:rPr>
        <w:drawing>
          <wp:inline distT="0" distB="0" distL="0" distR="0" wp14:anchorId="40ABD07A" wp14:editId="1A69A726">
            <wp:extent cx="6251171" cy="2875915"/>
            <wp:effectExtent l="0" t="0" r="0" b="635"/>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6255660" cy="2877980"/>
                    </a:xfrm>
                    <a:prstGeom prst="rect">
                      <a:avLst/>
                    </a:prstGeom>
                  </pic:spPr>
                </pic:pic>
              </a:graphicData>
            </a:graphic>
          </wp:inline>
        </w:drawing>
      </w:r>
    </w:p>
    <w:p w:rsidR="00827313" w:rsidRDefault="005B15C9" w:rsidP="005B15C9">
      <w:pPr>
        <w:pStyle w:val="BodyText"/>
        <w:spacing w:before="4"/>
        <w:jc w:val="center"/>
        <w:sectPr w:rsidR="00827313">
          <w:pgSz w:w="11910" w:h="16840"/>
          <w:pgMar w:top="620" w:right="740" w:bottom="280" w:left="580" w:header="720" w:footer="720" w:gutter="0"/>
          <w:cols w:space="720"/>
        </w:sectPr>
      </w:pPr>
      <w:r>
        <w:rPr>
          <w:noProof/>
          <w:lang w:bidi="ar-SA"/>
        </w:rPr>
        <w:drawing>
          <wp:anchor distT="0" distB="0" distL="0" distR="0" simplePos="0" relativeHeight="251658240" behindDoc="0" locked="0" layoutInCell="1" allowOverlap="1">
            <wp:simplePos x="0" y="0"/>
            <wp:positionH relativeFrom="page">
              <wp:posOffset>640080</wp:posOffset>
            </wp:positionH>
            <wp:positionV relativeFrom="paragraph">
              <wp:posOffset>211455</wp:posOffset>
            </wp:positionV>
            <wp:extent cx="6229985" cy="2817495"/>
            <wp:effectExtent l="0" t="0" r="0" b="190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229985" cy="2817495"/>
                    </a:xfrm>
                    <a:prstGeom prst="rect">
                      <a:avLst/>
                    </a:prstGeom>
                  </pic:spPr>
                </pic:pic>
              </a:graphicData>
            </a:graphic>
            <wp14:sizeRelH relativeFrom="margin">
              <wp14:pctWidth>0</wp14:pctWidth>
            </wp14:sizeRelH>
            <wp14:sizeRelV relativeFrom="margin">
              <wp14:pctHeight>0</wp14:pctHeight>
            </wp14:sizeRelV>
          </wp:anchor>
        </w:drawing>
      </w:r>
    </w:p>
    <w:p w:rsidR="00827313" w:rsidRDefault="00827313">
      <w:pPr>
        <w:pStyle w:val="BodyText"/>
        <w:ind w:left="566"/>
        <w:rPr>
          <w:sz w:val="20"/>
        </w:rPr>
      </w:pPr>
    </w:p>
    <w:p w:rsidR="00827313" w:rsidRDefault="00827313">
      <w:pPr>
        <w:pStyle w:val="BodyText"/>
        <w:spacing w:before="8"/>
        <w:rPr>
          <w:sz w:val="11"/>
        </w:rPr>
      </w:pPr>
    </w:p>
    <w:p w:rsidR="00827313" w:rsidRDefault="00AE6C59">
      <w:pPr>
        <w:pStyle w:val="Heading1"/>
        <w:numPr>
          <w:ilvl w:val="1"/>
          <w:numId w:val="1"/>
        </w:numPr>
        <w:tabs>
          <w:tab w:val="left" w:pos="933"/>
        </w:tabs>
        <w:spacing w:before="92"/>
        <w:ind w:hanging="432"/>
      </w:pPr>
      <w:r>
        <w:t>Textiles</w:t>
      </w:r>
    </w:p>
    <w:p w:rsidR="004020D7" w:rsidRDefault="00E31A35" w:rsidP="00E31A35">
      <w:pPr>
        <w:pStyle w:val="ListParagraph"/>
        <w:numPr>
          <w:ilvl w:val="2"/>
          <w:numId w:val="1"/>
        </w:numPr>
        <w:tabs>
          <w:tab w:val="left" w:pos="1504"/>
        </w:tabs>
        <w:spacing w:line="276" w:lineRule="auto"/>
        <w:ind w:right="386" w:hanging="504"/>
        <w:rPr>
          <w:sz w:val="24"/>
        </w:rPr>
      </w:pPr>
      <w:r>
        <w:rPr>
          <w:sz w:val="24"/>
        </w:rPr>
        <w:t xml:space="preserve">In October 2017, </w:t>
      </w:r>
      <w:r w:rsidR="004020D7">
        <w:rPr>
          <w:sz w:val="24"/>
        </w:rPr>
        <w:t>Officers identified that the amount of textiles found in residual waste was increasing and would continue to increase due to fast fashion.  An analysis of the cost of waste disposal and revenue available from textiles also revealed that revenue would increase overall and decrease per tonne as more textiles were collected.  In addition a saving would be made in disposal costs per tonne of textiles diverted from waste.  T</w:t>
      </w:r>
      <w:r>
        <w:rPr>
          <w:sz w:val="24"/>
        </w:rPr>
        <w:t xml:space="preserve">he Borough Environment Directors initiated a project </w:t>
      </w:r>
      <w:r w:rsidR="004020D7">
        <w:rPr>
          <w:sz w:val="24"/>
        </w:rPr>
        <w:t xml:space="preserve">to increase the amount of textiles collected across the six West London Boroughs using a variety of means.  Officers identified the textile recyclers operating in our area and explored a number of methods to increase the amount of textiles captured.  </w:t>
      </w:r>
    </w:p>
    <w:p w:rsidR="003768E0" w:rsidRDefault="004020D7" w:rsidP="00005A56">
      <w:pPr>
        <w:pStyle w:val="ListParagraph"/>
        <w:tabs>
          <w:tab w:val="left" w:pos="1504"/>
        </w:tabs>
        <w:spacing w:line="276" w:lineRule="auto"/>
        <w:ind w:right="386" w:firstLine="0"/>
        <w:rPr>
          <w:sz w:val="24"/>
        </w:rPr>
      </w:pPr>
      <w:r>
        <w:rPr>
          <w:sz w:val="24"/>
        </w:rPr>
        <w:t>The data collected on textiles to date indicates that</w:t>
      </w:r>
      <w:r w:rsidR="00827D7B">
        <w:rPr>
          <w:sz w:val="24"/>
        </w:rPr>
        <w:t xml:space="preserve"> we are collecting increasing volume of </w:t>
      </w:r>
      <w:r w:rsidR="00232F75">
        <w:rPr>
          <w:sz w:val="24"/>
        </w:rPr>
        <w:t>textiles</w:t>
      </w:r>
      <w:r w:rsidR="003768E0">
        <w:rPr>
          <w:sz w:val="24"/>
        </w:rPr>
        <w:t xml:space="preserve">.  Promoting and increasing textile home collections has not decreased the volumes collected from banks.  </w:t>
      </w:r>
    </w:p>
    <w:p w:rsidR="003768E0" w:rsidRDefault="003768E0" w:rsidP="00005A56">
      <w:pPr>
        <w:pStyle w:val="ListParagraph"/>
        <w:tabs>
          <w:tab w:val="left" w:pos="1504"/>
        </w:tabs>
        <w:spacing w:line="276" w:lineRule="auto"/>
        <w:ind w:right="386" w:hanging="1080"/>
        <w:rPr>
          <w:sz w:val="24"/>
        </w:rPr>
      </w:pPr>
    </w:p>
    <w:p w:rsidR="00560785" w:rsidRDefault="00560785" w:rsidP="00005A56">
      <w:pPr>
        <w:pStyle w:val="ListParagraph"/>
        <w:tabs>
          <w:tab w:val="left" w:pos="1504"/>
        </w:tabs>
        <w:spacing w:line="276" w:lineRule="auto"/>
        <w:ind w:right="386" w:hanging="1080"/>
        <w:rPr>
          <w:sz w:val="24"/>
        </w:rPr>
      </w:pPr>
      <w:r>
        <w:rPr>
          <w:noProof/>
          <w:sz w:val="24"/>
          <w:lang w:bidi="ar-SA"/>
        </w:rPr>
        <w:drawing>
          <wp:inline distT="0" distB="0" distL="0" distR="0" wp14:anchorId="7AD30DD2">
            <wp:extent cx="6353175" cy="26303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115" cy="2639428"/>
                    </a:xfrm>
                    <a:prstGeom prst="rect">
                      <a:avLst/>
                    </a:prstGeom>
                    <a:noFill/>
                  </pic:spPr>
                </pic:pic>
              </a:graphicData>
            </a:graphic>
          </wp:inline>
        </w:drawing>
      </w:r>
    </w:p>
    <w:p w:rsidR="003768E0" w:rsidRPr="00005A56" w:rsidRDefault="00005A56" w:rsidP="00005A56">
      <w:pPr>
        <w:pStyle w:val="ListParagraph"/>
        <w:tabs>
          <w:tab w:val="left" w:pos="1504"/>
        </w:tabs>
        <w:spacing w:line="276" w:lineRule="auto"/>
        <w:ind w:right="386" w:firstLine="0"/>
        <w:rPr>
          <w:sz w:val="24"/>
        </w:rPr>
      </w:pPr>
      <w:r w:rsidRPr="00005A56">
        <w:rPr>
          <w:sz w:val="24"/>
        </w:rPr>
        <w:t>However,</w:t>
      </w:r>
      <w:r w:rsidR="00827D7B" w:rsidRPr="00005A56">
        <w:rPr>
          <w:sz w:val="24"/>
        </w:rPr>
        <w:t xml:space="preserve"> </w:t>
      </w:r>
      <w:r w:rsidR="00C343DD" w:rsidRPr="00005A56">
        <w:rPr>
          <w:sz w:val="24"/>
        </w:rPr>
        <w:t xml:space="preserve">a large volume is still uncaptured and the </w:t>
      </w:r>
      <w:r w:rsidR="004020D7" w:rsidRPr="00005A56">
        <w:rPr>
          <w:sz w:val="24"/>
        </w:rPr>
        <w:t>amount</w:t>
      </w:r>
      <w:r w:rsidR="00827D7B" w:rsidRPr="00005A56">
        <w:rPr>
          <w:sz w:val="24"/>
        </w:rPr>
        <w:t xml:space="preserve"> of textiles</w:t>
      </w:r>
      <w:r w:rsidR="00A36222" w:rsidRPr="00005A56">
        <w:rPr>
          <w:sz w:val="24"/>
        </w:rPr>
        <w:t xml:space="preserve"> in the residual stream</w:t>
      </w:r>
      <w:r w:rsidR="00827D7B" w:rsidRPr="00005A56">
        <w:rPr>
          <w:sz w:val="24"/>
        </w:rPr>
        <w:t xml:space="preserve"> is </w:t>
      </w:r>
      <w:r w:rsidR="00232F75" w:rsidRPr="00005A56">
        <w:rPr>
          <w:sz w:val="24"/>
        </w:rPr>
        <w:t>projected to</w:t>
      </w:r>
      <w:r w:rsidR="0047291D" w:rsidRPr="00005A56">
        <w:rPr>
          <w:sz w:val="24"/>
        </w:rPr>
        <w:t xml:space="preserve"> reach 7% by 2021</w:t>
      </w:r>
      <w:r w:rsidR="00193F2C" w:rsidRPr="00005A56">
        <w:rPr>
          <w:sz w:val="24"/>
        </w:rPr>
        <w:t xml:space="preserve">, </w:t>
      </w:r>
      <w:r w:rsidR="00232F75" w:rsidRPr="00005A56">
        <w:rPr>
          <w:sz w:val="24"/>
        </w:rPr>
        <w:t>equivalent to £3M in disposal cost</w:t>
      </w:r>
      <w:r w:rsidR="00434FEB" w:rsidRPr="00005A56">
        <w:rPr>
          <w:sz w:val="24"/>
        </w:rPr>
        <w:t xml:space="preserve"> for the year</w:t>
      </w:r>
      <w:r w:rsidR="00232F75" w:rsidRPr="00005A56">
        <w:rPr>
          <w:sz w:val="24"/>
        </w:rPr>
        <w:t>.</w:t>
      </w:r>
      <w:r w:rsidR="00193F2C" w:rsidRPr="00005A56">
        <w:rPr>
          <w:sz w:val="24"/>
        </w:rPr>
        <w:t xml:space="preserve"> </w:t>
      </w:r>
    </w:p>
    <w:p w:rsidR="009D5498" w:rsidRDefault="00005A56" w:rsidP="00005A56">
      <w:pPr>
        <w:pStyle w:val="ListParagraph"/>
        <w:tabs>
          <w:tab w:val="left" w:pos="1504"/>
        </w:tabs>
        <w:spacing w:line="276" w:lineRule="auto"/>
        <w:ind w:right="386" w:hanging="1080"/>
        <w:rPr>
          <w:sz w:val="24"/>
        </w:rPr>
      </w:pPr>
      <w:r>
        <w:rPr>
          <w:noProof/>
          <w:sz w:val="24"/>
          <w:lang w:bidi="ar-SA"/>
        </w:rPr>
        <w:drawing>
          <wp:inline distT="0" distB="0" distL="0" distR="0" wp14:anchorId="795E1589">
            <wp:extent cx="6493943" cy="25603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4710" cy="2564565"/>
                    </a:xfrm>
                    <a:prstGeom prst="rect">
                      <a:avLst/>
                    </a:prstGeom>
                    <a:noFill/>
                  </pic:spPr>
                </pic:pic>
              </a:graphicData>
            </a:graphic>
          </wp:inline>
        </w:drawing>
      </w:r>
    </w:p>
    <w:p w:rsidR="009D5498" w:rsidRDefault="009D5498">
      <w:pPr>
        <w:rPr>
          <w:sz w:val="24"/>
        </w:rPr>
      </w:pPr>
      <w:r>
        <w:rPr>
          <w:sz w:val="24"/>
        </w:rPr>
        <w:br w:type="page"/>
      </w:r>
    </w:p>
    <w:p w:rsidR="00575A7A" w:rsidRDefault="003768E0" w:rsidP="009D5498">
      <w:pPr>
        <w:pStyle w:val="ListParagraph"/>
        <w:tabs>
          <w:tab w:val="left" w:pos="1504"/>
        </w:tabs>
        <w:spacing w:line="276" w:lineRule="auto"/>
        <w:ind w:right="386" w:firstLine="0"/>
        <w:rPr>
          <w:sz w:val="24"/>
        </w:rPr>
      </w:pPr>
      <w:r>
        <w:rPr>
          <w:sz w:val="24"/>
        </w:rPr>
        <w:lastRenderedPageBreak/>
        <w:t>Officers are interrogating the data further to understand the impact on revenues associated with textile collections.  Future development will focus on expanding the on-request collections and existing kerbside collections.  We are developing shared social media resources such as infographics and video</w:t>
      </w:r>
      <w:r w:rsidR="009D5498">
        <w:rPr>
          <w:sz w:val="24"/>
        </w:rPr>
        <w:t xml:space="preserve"> series</w:t>
      </w:r>
      <w:r>
        <w:rPr>
          <w:sz w:val="24"/>
        </w:rPr>
        <w:t>.</w:t>
      </w:r>
    </w:p>
    <w:p w:rsidR="00827313" w:rsidRDefault="00827313">
      <w:pPr>
        <w:pStyle w:val="BodyText"/>
        <w:spacing w:before="11"/>
        <w:rPr>
          <w:sz w:val="34"/>
        </w:rPr>
      </w:pPr>
    </w:p>
    <w:p w:rsidR="00827313" w:rsidRDefault="00AE6C59">
      <w:pPr>
        <w:pStyle w:val="Heading1"/>
        <w:numPr>
          <w:ilvl w:val="1"/>
          <w:numId w:val="1"/>
        </w:numPr>
        <w:tabs>
          <w:tab w:val="left" w:pos="933"/>
        </w:tabs>
        <w:spacing w:before="0"/>
        <w:ind w:hanging="432"/>
      </w:pPr>
      <w:r>
        <w:t>Reusable</w:t>
      </w:r>
      <w:r>
        <w:rPr>
          <w:spacing w:val="-3"/>
        </w:rPr>
        <w:t xml:space="preserve"> </w:t>
      </w:r>
      <w:r>
        <w:t>Nappies</w:t>
      </w:r>
    </w:p>
    <w:p w:rsidR="00827313" w:rsidRDefault="00AE6C59">
      <w:pPr>
        <w:pStyle w:val="ListParagraph"/>
        <w:numPr>
          <w:ilvl w:val="2"/>
          <w:numId w:val="1"/>
        </w:numPr>
        <w:tabs>
          <w:tab w:val="left" w:pos="1504"/>
        </w:tabs>
        <w:ind w:right="397" w:hanging="504"/>
        <w:rPr>
          <w:sz w:val="24"/>
        </w:rPr>
      </w:pPr>
      <w:r>
        <w:rPr>
          <w:sz w:val="24"/>
        </w:rPr>
        <w:t>The uptake of the reusable nappies scheme has increased by 107% with 55 applications made during 2017 to 114 in 2018. With pronounced increase in applications, the team will increase the number of packs available from 15 to</w:t>
      </w:r>
      <w:r>
        <w:rPr>
          <w:spacing w:val="-23"/>
          <w:sz w:val="24"/>
        </w:rPr>
        <w:t xml:space="preserve"> </w:t>
      </w:r>
      <w:r>
        <w:rPr>
          <w:sz w:val="24"/>
        </w:rPr>
        <w:t>20.</w:t>
      </w:r>
    </w:p>
    <w:p w:rsidR="00005A56" w:rsidRDefault="00005A56" w:rsidP="00005A56">
      <w:pPr>
        <w:pStyle w:val="ListParagraph"/>
        <w:tabs>
          <w:tab w:val="left" w:pos="1504"/>
        </w:tabs>
        <w:ind w:right="397" w:firstLine="0"/>
        <w:rPr>
          <w:sz w:val="24"/>
        </w:rPr>
      </w:pPr>
    </w:p>
    <w:p w:rsidR="00827313" w:rsidRDefault="00AE6C59">
      <w:pPr>
        <w:pStyle w:val="BodyText"/>
        <w:ind w:left="566"/>
        <w:rPr>
          <w:sz w:val="20"/>
        </w:rPr>
      </w:pPr>
      <w:r>
        <w:rPr>
          <w:noProof/>
          <w:sz w:val="20"/>
          <w:lang w:bidi="ar-SA"/>
        </w:rPr>
        <w:drawing>
          <wp:inline distT="0" distB="0" distL="0" distR="0">
            <wp:extent cx="6096632" cy="350243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6096632" cy="3502437"/>
                    </a:xfrm>
                    <a:prstGeom prst="rect">
                      <a:avLst/>
                    </a:prstGeom>
                  </pic:spPr>
                </pic:pic>
              </a:graphicData>
            </a:graphic>
          </wp:inline>
        </w:drawing>
      </w:r>
    </w:p>
    <w:p w:rsidR="00827313" w:rsidRDefault="00827313">
      <w:pPr>
        <w:pStyle w:val="BodyText"/>
        <w:rPr>
          <w:sz w:val="20"/>
        </w:rPr>
      </w:pPr>
    </w:p>
    <w:p w:rsidR="00827313" w:rsidRDefault="000D55C4" w:rsidP="000D55C4">
      <w:pPr>
        <w:pStyle w:val="Heading1"/>
        <w:numPr>
          <w:ilvl w:val="0"/>
          <w:numId w:val="1"/>
        </w:numPr>
        <w:tabs>
          <w:tab w:val="left" w:pos="500"/>
        </w:tabs>
        <w:spacing w:before="217"/>
        <w:rPr>
          <w:sz w:val="20"/>
        </w:rPr>
      </w:pPr>
      <w:r w:rsidRPr="000D55C4">
        <w:t>Communication</w:t>
      </w:r>
    </w:p>
    <w:p w:rsidR="00827313" w:rsidRPr="002534C5" w:rsidRDefault="000E18A0" w:rsidP="000E18A0">
      <w:pPr>
        <w:pStyle w:val="ListParagraph"/>
        <w:numPr>
          <w:ilvl w:val="2"/>
          <w:numId w:val="1"/>
        </w:numPr>
        <w:tabs>
          <w:tab w:val="left" w:pos="1504"/>
        </w:tabs>
        <w:spacing w:before="0"/>
        <w:ind w:left="1503" w:hanging="643"/>
        <w:rPr>
          <w:sz w:val="24"/>
        </w:rPr>
      </w:pPr>
      <w:r w:rsidRPr="002534C5">
        <w:rPr>
          <w:sz w:val="24"/>
        </w:rPr>
        <w:t xml:space="preserve">Appendix 1 sets out the </w:t>
      </w:r>
      <w:r w:rsidR="002534C5">
        <w:rPr>
          <w:sz w:val="24"/>
        </w:rPr>
        <w:t xml:space="preserve">industry </w:t>
      </w:r>
      <w:r w:rsidRPr="002534C5">
        <w:rPr>
          <w:sz w:val="24"/>
        </w:rPr>
        <w:t>events</w:t>
      </w:r>
      <w:r w:rsidR="002534C5">
        <w:rPr>
          <w:sz w:val="24"/>
        </w:rPr>
        <w:t xml:space="preserve"> and awards</w:t>
      </w:r>
      <w:r w:rsidRPr="002534C5">
        <w:rPr>
          <w:sz w:val="24"/>
        </w:rPr>
        <w:t xml:space="preserve"> that WLWA</w:t>
      </w:r>
      <w:r w:rsidR="002534C5">
        <w:rPr>
          <w:sz w:val="24"/>
        </w:rPr>
        <w:t xml:space="preserve"> participated in during 2018/19 as l</w:t>
      </w:r>
      <w:r w:rsidR="007B37E9" w:rsidRPr="002534C5">
        <w:rPr>
          <w:sz w:val="24"/>
        </w:rPr>
        <w:t>eaders</w:t>
      </w:r>
      <w:bookmarkStart w:id="0" w:name="_GoBack"/>
      <w:bookmarkEnd w:id="0"/>
      <w:r w:rsidR="007B37E9" w:rsidRPr="002534C5">
        <w:rPr>
          <w:sz w:val="24"/>
        </w:rPr>
        <w:t xml:space="preserve"> in </w:t>
      </w:r>
      <w:r w:rsidRPr="002534C5">
        <w:rPr>
          <w:sz w:val="24"/>
        </w:rPr>
        <w:t xml:space="preserve">treating waste as a valuable resource. </w:t>
      </w:r>
    </w:p>
    <w:p w:rsidR="00827313" w:rsidRDefault="00AE6C59" w:rsidP="000D55C4">
      <w:pPr>
        <w:pStyle w:val="Heading1"/>
        <w:numPr>
          <w:ilvl w:val="0"/>
          <w:numId w:val="1"/>
        </w:numPr>
        <w:tabs>
          <w:tab w:val="left" w:pos="500"/>
        </w:tabs>
        <w:spacing w:before="217"/>
      </w:pPr>
      <w:r>
        <w:t>General;</w:t>
      </w:r>
    </w:p>
    <w:p w:rsidR="00827313" w:rsidRDefault="00AE6C59">
      <w:pPr>
        <w:pStyle w:val="ListParagraph"/>
        <w:numPr>
          <w:ilvl w:val="2"/>
          <w:numId w:val="1"/>
        </w:numPr>
        <w:tabs>
          <w:tab w:val="left" w:pos="1504"/>
        </w:tabs>
        <w:spacing w:before="0"/>
        <w:ind w:left="1503" w:hanging="643"/>
        <w:rPr>
          <w:sz w:val="24"/>
        </w:rPr>
      </w:pPr>
      <w:r>
        <w:rPr>
          <w:sz w:val="24"/>
        </w:rPr>
        <w:t>The Waste Minimisation programme is on</w:t>
      </w:r>
      <w:r>
        <w:rPr>
          <w:spacing w:val="-7"/>
          <w:sz w:val="24"/>
        </w:rPr>
        <w:t xml:space="preserve"> </w:t>
      </w:r>
      <w:r>
        <w:rPr>
          <w:sz w:val="24"/>
        </w:rPr>
        <w:t>track.</w:t>
      </w:r>
    </w:p>
    <w:p w:rsidR="00827313" w:rsidRDefault="00827313">
      <w:pPr>
        <w:pStyle w:val="BodyText"/>
        <w:rPr>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5672"/>
        <w:gridCol w:w="2268"/>
      </w:tblGrid>
      <w:tr w:rsidR="00827313">
        <w:trPr>
          <w:trHeight w:val="830"/>
        </w:trPr>
        <w:tc>
          <w:tcPr>
            <w:tcW w:w="2410" w:type="dxa"/>
            <w:vMerge w:val="restart"/>
          </w:tcPr>
          <w:p w:rsidR="00827313" w:rsidRDefault="00AE6C59">
            <w:pPr>
              <w:pStyle w:val="TableParagraph"/>
              <w:ind w:left="141"/>
              <w:rPr>
                <w:sz w:val="24"/>
              </w:rPr>
            </w:pPr>
            <w:r>
              <w:rPr>
                <w:sz w:val="24"/>
              </w:rPr>
              <w:t>Contact Officers</w:t>
            </w:r>
          </w:p>
        </w:tc>
        <w:tc>
          <w:tcPr>
            <w:tcW w:w="5672" w:type="dxa"/>
          </w:tcPr>
          <w:p w:rsidR="00827313" w:rsidRDefault="00AE6C59">
            <w:pPr>
              <w:pStyle w:val="TableParagraph"/>
              <w:ind w:left="107" w:right="639"/>
              <w:rPr>
                <w:sz w:val="24"/>
              </w:rPr>
            </w:pPr>
            <w:r>
              <w:rPr>
                <w:sz w:val="24"/>
              </w:rPr>
              <w:t xml:space="preserve">Mildred Jeakins, Waste Minimisation Manager </w:t>
            </w:r>
            <w:hyperlink r:id="rId11">
              <w:r>
                <w:rPr>
                  <w:color w:val="0000FF"/>
                  <w:sz w:val="24"/>
                  <w:u w:val="single" w:color="0000FF"/>
                </w:rPr>
                <w:t>mildredjeakins@westlondonwaste.gov.uk</w:t>
              </w:r>
            </w:hyperlink>
          </w:p>
        </w:tc>
        <w:tc>
          <w:tcPr>
            <w:tcW w:w="2268" w:type="dxa"/>
          </w:tcPr>
          <w:p w:rsidR="00827313" w:rsidRDefault="00AE6C59">
            <w:pPr>
              <w:pStyle w:val="TableParagraph"/>
              <w:ind w:left="108"/>
              <w:rPr>
                <w:sz w:val="24"/>
              </w:rPr>
            </w:pPr>
            <w:r>
              <w:rPr>
                <w:sz w:val="24"/>
              </w:rPr>
              <w:t>01895 546 623</w:t>
            </w:r>
          </w:p>
        </w:tc>
      </w:tr>
      <w:tr w:rsidR="00827313">
        <w:trPr>
          <w:trHeight w:val="748"/>
        </w:trPr>
        <w:tc>
          <w:tcPr>
            <w:tcW w:w="2410" w:type="dxa"/>
            <w:vMerge/>
            <w:tcBorders>
              <w:top w:val="nil"/>
            </w:tcBorders>
          </w:tcPr>
          <w:p w:rsidR="00827313" w:rsidRDefault="00827313">
            <w:pPr>
              <w:rPr>
                <w:sz w:val="2"/>
                <w:szCs w:val="2"/>
              </w:rPr>
            </w:pPr>
          </w:p>
        </w:tc>
        <w:tc>
          <w:tcPr>
            <w:tcW w:w="5672" w:type="dxa"/>
          </w:tcPr>
          <w:p w:rsidR="00827313" w:rsidRDefault="00AE6C59">
            <w:pPr>
              <w:pStyle w:val="TableParagraph"/>
              <w:ind w:left="107" w:right="639"/>
              <w:rPr>
                <w:sz w:val="24"/>
              </w:rPr>
            </w:pPr>
            <w:r>
              <w:rPr>
                <w:sz w:val="24"/>
              </w:rPr>
              <w:t xml:space="preserve">Emma Beal, Managing Director </w:t>
            </w:r>
            <w:hyperlink r:id="rId12">
              <w:r>
                <w:rPr>
                  <w:color w:val="0000FF"/>
                  <w:sz w:val="24"/>
                  <w:u w:val="single" w:color="0000FF"/>
                </w:rPr>
                <w:t>emmabeal@westlondonwaste.gov.uk</w:t>
              </w:r>
            </w:hyperlink>
          </w:p>
        </w:tc>
        <w:tc>
          <w:tcPr>
            <w:tcW w:w="2268" w:type="dxa"/>
          </w:tcPr>
          <w:p w:rsidR="00827313" w:rsidRDefault="00AE6C59">
            <w:pPr>
              <w:pStyle w:val="TableParagraph"/>
              <w:spacing w:line="274" w:lineRule="exact"/>
              <w:ind w:left="108"/>
              <w:rPr>
                <w:sz w:val="24"/>
              </w:rPr>
            </w:pPr>
            <w:r>
              <w:rPr>
                <w:sz w:val="24"/>
              </w:rPr>
              <w:t>01895 545 515</w:t>
            </w:r>
          </w:p>
        </w:tc>
      </w:tr>
    </w:tbl>
    <w:p w:rsidR="007F6F23" w:rsidRDefault="007F6F23"/>
    <w:p w:rsidR="000D55C4" w:rsidRDefault="000D55C4">
      <w:pPr>
        <w:rPr>
          <w:rFonts w:ascii="Calibri Light"/>
          <w:color w:val="2D74B5"/>
          <w:sz w:val="80"/>
        </w:rPr>
      </w:pPr>
      <w:r>
        <w:rPr>
          <w:rFonts w:ascii="Calibri Light"/>
          <w:color w:val="2D74B5"/>
          <w:sz w:val="80"/>
        </w:rPr>
        <w:br w:type="page"/>
      </w:r>
    </w:p>
    <w:p w:rsidR="000D55C4" w:rsidRPr="000E18A0" w:rsidRDefault="000D55C4" w:rsidP="000D55C4">
      <w:pPr>
        <w:spacing w:line="900" w:lineRule="exact"/>
        <w:ind w:left="140"/>
        <w:rPr>
          <w:rFonts w:ascii="Calibri Light"/>
          <w:b/>
          <w:sz w:val="40"/>
          <w:szCs w:val="40"/>
        </w:rPr>
      </w:pPr>
      <w:r w:rsidRPr="000E18A0">
        <w:rPr>
          <w:rFonts w:ascii="Calibri Light"/>
          <w:b/>
          <w:sz w:val="40"/>
          <w:szCs w:val="40"/>
        </w:rPr>
        <w:lastRenderedPageBreak/>
        <w:t>Communications Appendix</w:t>
      </w:r>
      <w:r w:rsidR="003032BB">
        <w:rPr>
          <w:rFonts w:ascii="Calibri Light"/>
          <w:b/>
          <w:sz w:val="40"/>
          <w:szCs w:val="40"/>
        </w:rPr>
        <w:t xml:space="preserve"> 1</w:t>
      </w:r>
    </w:p>
    <w:p w:rsidR="000D55C4" w:rsidRPr="000E18A0" w:rsidRDefault="000D55C4" w:rsidP="000E18A0">
      <w:pPr>
        <w:pStyle w:val="Heading1"/>
        <w:pBdr>
          <w:bottom w:val="single" w:sz="4" w:space="1" w:color="auto"/>
        </w:pBdr>
        <w:spacing w:before="400"/>
        <w:ind w:hanging="790"/>
      </w:pPr>
      <w:r w:rsidRPr="000E18A0">
        <w:t>Industry leadership presentations made during 2018/19</w:t>
      </w:r>
    </w:p>
    <w:p w:rsidR="000D55C4" w:rsidRPr="000E18A0" w:rsidRDefault="00AE6C59" w:rsidP="000D55C4">
      <w:pPr>
        <w:pStyle w:val="BodyText"/>
        <w:spacing w:line="20" w:lineRule="exact"/>
        <w:ind w:left="106"/>
        <w:rPr>
          <w:rFonts w:ascii="Calibri Light"/>
        </w:rPr>
      </w:pPr>
      <w:r w:rsidRPr="000E18A0">
        <w:rPr>
          <w:noProof/>
          <w:lang w:bidi="ar-SA"/>
        </w:rPr>
        <mc:AlternateContent>
          <mc:Choice Requires="wpg">
            <w:drawing>
              <wp:inline distT="0" distB="0" distL="0" distR="0">
                <wp:extent cx="5769610" cy="6350"/>
                <wp:effectExtent l="0" t="0" r="2540" b="0"/>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3" name="Line 5"/>
                        <wps:cNvCnPr>
                          <a:cxnSpLocks noChangeShapeType="1"/>
                        </wps:cNvCnPr>
                        <wps:spPr bwMode="auto">
                          <a:xfrm>
                            <a:off x="0" y="5"/>
                            <a:ext cx="9085"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0B61DC" id="Group 4"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">
                <v:line id="Line 5"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" strokecolor="#5b9bd4" strokeweight=".48pt"/>
                <w10:anchorlock/>
              </v:group>
            </w:pict>
          </mc:Fallback>
        </mc:AlternateContent>
      </w:r>
    </w:p>
    <w:p w:rsidR="000D55C4" w:rsidRPr="000E18A0" w:rsidRDefault="000D55C4" w:rsidP="000D55C4">
      <w:pPr>
        <w:pStyle w:val="BodyText"/>
        <w:rPr>
          <w:rFonts w:ascii="Calibri Light"/>
        </w:rPr>
      </w:pPr>
    </w:p>
    <w:p w:rsidR="000D55C4" w:rsidRPr="000E18A0" w:rsidRDefault="000D55C4" w:rsidP="000D55C4">
      <w:pPr>
        <w:pStyle w:val="BodyText"/>
        <w:rPr>
          <w:rFonts w:ascii="Calibri Light"/>
        </w:rPr>
      </w:pPr>
    </w:p>
    <w:p w:rsidR="000D55C4" w:rsidRPr="000E18A0" w:rsidRDefault="000D55C4" w:rsidP="000E18A0">
      <w:pPr>
        <w:pStyle w:val="Heading2"/>
      </w:pPr>
      <w:r w:rsidRPr="000E18A0">
        <w:t>May 2018</w:t>
      </w:r>
    </w:p>
    <w:p w:rsidR="000D55C4" w:rsidRPr="000E18A0" w:rsidRDefault="000D55C4" w:rsidP="000D55C4">
      <w:pPr>
        <w:pStyle w:val="ListParagraph"/>
        <w:numPr>
          <w:ilvl w:val="0"/>
          <w:numId w:val="2"/>
        </w:numPr>
        <w:tabs>
          <w:tab w:val="left" w:pos="860"/>
          <w:tab w:val="left" w:pos="861"/>
        </w:tabs>
        <w:spacing w:before="0" w:line="264" w:lineRule="auto"/>
        <w:ind w:right="2673"/>
        <w:rPr>
          <w:sz w:val="24"/>
          <w:szCs w:val="24"/>
        </w:rPr>
      </w:pPr>
      <w:r w:rsidRPr="000E18A0">
        <w:rPr>
          <w:sz w:val="24"/>
          <w:szCs w:val="24"/>
        </w:rPr>
        <w:t>The power of partnerships to drive circular economy improvements Edie Live at the NEC,</w:t>
      </w:r>
      <w:r w:rsidRPr="000E18A0">
        <w:rPr>
          <w:spacing w:val="-5"/>
          <w:sz w:val="24"/>
          <w:szCs w:val="24"/>
        </w:rPr>
        <w:t xml:space="preserve"> </w:t>
      </w:r>
      <w:r w:rsidRPr="000E18A0">
        <w:rPr>
          <w:sz w:val="24"/>
          <w:szCs w:val="24"/>
        </w:rPr>
        <w:t>Birmingham</w:t>
      </w:r>
    </w:p>
    <w:p w:rsidR="000D55C4" w:rsidRPr="000E18A0" w:rsidRDefault="000D55C4" w:rsidP="00B63F6A">
      <w:pPr>
        <w:pStyle w:val="ListParagraph"/>
        <w:tabs>
          <w:tab w:val="left" w:pos="860"/>
          <w:tab w:val="left" w:pos="861"/>
        </w:tabs>
        <w:spacing w:before="0" w:line="264" w:lineRule="auto"/>
        <w:ind w:left="860" w:right="2673" w:firstLine="0"/>
        <w:jc w:val="left"/>
        <w:rPr>
          <w:sz w:val="24"/>
          <w:szCs w:val="24"/>
        </w:rPr>
      </w:pPr>
      <w:r w:rsidRPr="000E18A0">
        <w:rPr>
          <w:sz w:val="24"/>
          <w:szCs w:val="24"/>
        </w:rPr>
        <w:t>Sustainability interest audience</w:t>
      </w:r>
    </w:p>
    <w:p w:rsidR="000D55C4" w:rsidRPr="000E18A0" w:rsidRDefault="000D55C4" w:rsidP="000D55C4">
      <w:pPr>
        <w:pStyle w:val="BodyText"/>
        <w:spacing w:before="6"/>
      </w:pPr>
    </w:p>
    <w:p w:rsidR="000D55C4" w:rsidRPr="000E18A0" w:rsidRDefault="000D55C4" w:rsidP="000E18A0">
      <w:pPr>
        <w:pStyle w:val="Heading2"/>
      </w:pPr>
      <w:r w:rsidRPr="000E18A0">
        <w:t>June 2018</w:t>
      </w:r>
    </w:p>
    <w:p w:rsidR="000D55C4" w:rsidRPr="000E18A0" w:rsidRDefault="000D55C4" w:rsidP="000D55C4">
      <w:pPr>
        <w:pStyle w:val="ListParagraph"/>
        <w:numPr>
          <w:ilvl w:val="0"/>
          <w:numId w:val="2"/>
        </w:numPr>
        <w:tabs>
          <w:tab w:val="left" w:pos="860"/>
          <w:tab w:val="left" w:pos="861"/>
        </w:tabs>
        <w:spacing w:before="0" w:line="261" w:lineRule="auto"/>
        <w:ind w:right="1602"/>
        <w:rPr>
          <w:sz w:val="24"/>
          <w:szCs w:val="24"/>
        </w:rPr>
      </w:pPr>
      <w:r w:rsidRPr="000E18A0">
        <w:rPr>
          <w:sz w:val="24"/>
          <w:szCs w:val="24"/>
        </w:rPr>
        <w:t>Partnership working in West London (minimis</w:t>
      </w:r>
      <w:r w:rsidR="005728FC">
        <w:rPr>
          <w:sz w:val="24"/>
          <w:szCs w:val="24"/>
        </w:rPr>
        <w:t>ing</w:t>
      </w:r>
      <w:r w:rsidRPr="000E18A0">
        <w:rPr>
          <w:sz w:val="24"/>
          <w:szCs w:val="24"/>
        </w:rPr>
        <w:t xml:space="preserve"> waste</w:t>
      </w:r>
      <w:r w:rsidR="005728FC">
        <w:rPr>
          <w:sz w:val="24"/>
          <w:szCs w:val="24"/>
        </w:rPr>
        <w:t>, increasing</w:t>
      </w:r>
      <w:r w:rsidR="00B63F6A">
        <w:rPr>
          <w:sz w:val="24"/>
          <w:szCs w:val="24"/>
        </w:rPr>
        <w:t xml:space="preserve"> e</w:t>
      </w:r>
      <w:r w:rsidRPr="000E18A0">
        <w:rPr>
          <w:sz w:val="24"/>
          <w:szCs w:val="24"/>
        </w:rPr>
        <w:t>fficiency) Suez customer conference at</w:t>
      </w:r>
      <w:r w:rsidRPr="000E18A0">
        <w:rPr>
          <w:spacing w:val="-3"/>
          <w:sz w:val="24"/>
          <w:szCs w:val="24"/>
        </w:rPr>
        <w:t xml:space="preserve"> </w:t>
      </w:r>
      <w:r w:rsidRPr="000E18A0">
        <w:rPr>
          <w:sz w:val="24"/>
          <w:szCs w:val="24"/>
        </w:rPr>
        <w:t>SERC</w:t>
      </w:r>
    </w:p>
    <w:p w:rsidR="000D55C4" w:rsidRPr="000E18A0" w:rsidRDefault="000D55C4" w:rsidP="00B63F6A">
      <w:pPr>
        <w:pStyle w:val="ListParagraph"/>
        <w:tabs>
          <w:tab w:val="left" w:pos="860"/>
          <w:tab w:val="left" w:pos="861"/>
        </w:tabs>
        <w:spacing w:before="0" w:line="264" w:lineRule="auto"/>
        <w:ind w:left="860" w:right="2673" w:firstLine="0"/>
        <w:jc w:val="left"/>
        <w:rPr>
          <w:sz w:val="24"/>
          <w:szCs w:val="24"/>
        </w:rPr>
      </w:pPr>
      <w:r w:rsidRPr="000E18A0">
        <w:rPr>
          <w:sz w:val="24"/>
          <w:szCs w:val="24"/>
        </w:rPr>
        <w:t>Local Authority audience</w:t>
      </w:r>
    </w:p>
    <w:p w:rsidR="000D55C4" w:rsidRPr="000E18A0" w:rsidRDefault="000D55C4" w:rsidP="000D55C4">
      <w:pPr>
        <w:pStyle w:val="BodyText"/>
        <w:spacing w:before="7"/>
      </w:pPr>
    </w:p>
    <w:p w:rsidR="000D55C4" w:rsidRPr="000E18A0" w:rsidRDefault="000D55C4" w:rsidP="000E18A0">
      <w:pPr>
        <w:pStyle w:val="Heading2"/>
      </w:pPr>
      <w:r w:rsidRPr="000E18A0">
        <w:t>October 2018</w:t>
      </w:r>
    </w:p>
    <w:p w:rsidR="000D55C4" w:rsidRPr="000E18A0" w:rsidRDefault="000D55C4" w:rsidP="000D55C4">
      <w:pPr>
        <w:pStyle w:val="ListParagraph"/>
        <w:numPr>
          <w:ilvl w:val="0"/>
          <w:numId w:val="2"/>
        </w:numPr>
        <w:tabs>
          <w:tab w:val="left" w:pos="860"/>
          <w:tab w:val="left" w:pos="861"/>
        </w:tabs>
        <w:spacing w:before="0" w:line="266" w:lineRule="exact"/>
        <w:rPr>
          <w:sz w:val="24"/>
          <w:szCs w:val="24"/>
        </w:rPr>
      </w:pPr>
      <w:r w:rsidRPr="000E18A0">
        <w:rPr>
          <w:sz w:val="24"/>
          <w:szCs w:val="24"/>
        </w:rPr>
        <w:t>P</w:t>
      </w:r>
      <w:r w:rsidR="007B37E9">
        <w:rPr>
          <w:sz w:val="24"/>
          <w:szCs w:val="24"/>
        </w:rPr>
        <w:t>reventing S</w:t>
      </w:r>
      <w:r w:rsidRPr="000E18A0">
        <w:rPr>
          <w:sz w:val="24"/>
          <w:szCs w:val="24"/>
        </w:rPr>
        <w:t>ingle</w:t>
      </w:r>
      <w:r w:rsidRPr="000E18A0">
        <w:rPr>
          <w:spacing w:val="-5"/>
          <w:sz w:val="24"/>
          <w:szCs w:val="24"/>
        </w:rPr>
        <w:t xml:space="preserve"> </w:t>
      </w:r>
      <w:r w:rsidR="007B37E9">
        <w:rPr>
          <w:sz w:val="24"/>
          <w:szCs w:val="24"/>
        </w:rPr>
        <w:t>U</w:t>
      </w:r>
      <w:r w:rsidRPr="000E18A0">
        <w:rPr>
          <w:sz w:val="24"/>
          <w:szCs w:val="24"/>
        </w:rPr>
        <w:t>se</w:t>
      </w:r>
    </w:p>
    <w:p w:rsidR="000D55C4" w:rsidRPr="000E18A0" w:rsidRDefault="000D55C4" w:rsidP="00B63F6A">
      <w:pPr>
        <w:pStyle w:val="ListParagraph"/>
        <w:tabs>
          <w:tab w:val="left" w:pos="860"/>
          <w:tab w:val="left" w:pos="861"/>
        </w:tabs>
        <w:spacing w:before="0" w:line="264" w:lineRule="auto"/>
        <w:ind w:left="860" w:right="2673" w:firstLine="0"/>
        <w:jc w:val="left"/>
        <w:rPr>
          <w:sz w:val="24"/>
          <w:szCs w:val="24"/>
        </w:rPr>
      </w:pPr>
      <w:r w:rsidRPr="000E18A0">
        <w:rPr>
          <w:sz w:val="24"/>
          <w:szCs w:val="24"/>
        </w:rPr>
        <w:t>LARAC Conference, Nottingham</w:t>
      </w:r>
    </w:p>
    <w:p w:rsidR="000D55C4" w:rsidRPr="000E18A0" w:rsidRDefault="000D55C4" w:rsidP="00B63F6A">
      <w:pPr>
        <w:pStyle w:val="ListParagraph"/>
        <w:tabs>
          <w:tab w:val="left" w:pos="860"/>
          <w:tab w:val="left" w:pos="861"/>
        </w:tabs>
        <w:spacing w:before="0" w:line="264" w:lineRule="auto"/>
        <w:ind w:left="860" w:right="2673" w:firstLine="0"/>
        <w:jc w:val="left"/>
        <w:rPr>
          <w:sz w:val="24"/>
          <w:szCs w:val="24"/>
        </w:rPr>
      </w:pPr>
      <w:r w:rsidRPr="000E18A0">
        <w:rPr>
          <w:sz w:val="24"/>
          <w:szCs w:val="24"/>
        </w:rPr>
        <w:t>Local Authority and waste industry audience</w:t>
      </w:r>
    </w:p>
    <w:p w:rsidR="000D55C4" w:rsidRPr="000E18A0" w:rsidRDefault="000D55C4" w:rsidP="000D55C4">
      <w:pPr>
        <w:pStyle w:val="BodyText"/>
        <w:spacing w:before="7"/>
      </w:pPr>
    </w:p>
    <w:p w:rsidR="000D55C4" w:rsidRPr="000E18A0" w:rsidRDefault="000D55C4" w:rsidP="000E18A0">
      <w:pPr>
        <w:pStyle w:val="Heading2"/>
      </w:pPr>
      <w:r w:rsidRPr="000E18A0">
        <w:t>February 2019</w:t>
      </w:r>
    </w:p>
    <w:p w:rsidR="005728FC" w:rsidRDefault="000D55C4" w:rsidP="00F91A24">
      <w:pPr>
        <w:pStyle w:val="ListParagraph"/>
        <w:numPr>
          <w:ilvl w:val="0"/>
          <w:numId w:val="2"/>
        </w:numPr>
        <w:tabs>
          <w:tab w:val="left" w:pos="860"/>
          <w:tab w:val="left" w:pos="861"/>
        </w:tabs>
        <w:spacing w:before="0" w:line="266" w:lineRule="exact"/>
        <w:rPr>
          <w:sz w:val="24"/>
          <w:szCs w:val="24"/>
        </w:rPr>
      </w:pPr>
      <w:r w:rsidRPr="00B63F6A">
        <w:rPr>
          <w:sz w:val="24"/>
          <w:szCs w:val="24"/>
        </w:rPr>
        <w:t>Using Data to</w:t>
      </w:r>
      <w:r w:rsidRPr="00B63F6A">
        <w:rPr>
          <w:spacing w:val="-3"/>
          <w:sz w:val="24"/>
          <w:szCs w:val="24"/>
        </w:rPr>
        <w:t xml:space="preserve"> </w:t>
      </w:r>
      <w:r w:rsidRPr="00B63F6A">
        <w:rPr>
          <w:sz w:val="24"/>
          <w:szCs w:val="24"/>
        </w:rPr>
        <w:t>improve</w:t>
      </w:r>
      <w:r w:rsidR="00B63F6A">
        <w:rPr>
          <w:sz w:val="24"/>
          <w:szCs w:val="24"/>
        </w:rPr>
        <w:t xml:space="preserve"> </w:t>
      </w:r>
    </w:p>
    <w:p w:rsidR="00B63F6A" w:rsidRDefault="007B37E9" w:rsidP="005728FC">
      <w:pPr>
        <w:pStyle w:val="ListParagraph"/>
        <w:tabs>
          <w:tab w:val="left" w:pos="860"/>
          <w:tab w:val="left" w:pos="861"/>
        </w:tabs>
        <w:spacing w:before="0" w:line="266" w:lineRule="exact"/>
        <w:ind w:left="860" w:firstLine="0"/>
        <w:rPr>
          <w:sz w:val="24"/>
          <w:szCs w:val="24"/>
        </w:rPr>
      </w:pPr>
      <w:r w:rsidRPr="00B63F6A">
        <w:rPr>
          <w:sz w:val="24"/>
          <w:szCs w:val="24"/>
        </w:rPr>
        <w:t>MRF &amp; markets C</w:t>
      </w:r>
      <w:r w:rsidR="000D55C4" w:rsidRPr="00B63F6A">
        <w:rPr>
          <w:sz w:val="24"/>
          <w:szCs w:val="24"/>
        </w:rPr>
        <w:t xml:space="preserve">onference, Birmingham </w:t>
      </w:r>
    </w:p>
    <w:p w:rsidR="000D55C4" w:rsidRPr="00B63F6A" w:rsidRDefault="000D55C4" w:rsidP="00B63F6A">
      <w:pPr>
        <w:pStyle w:val="ListParagraph"/>
        <w:tabs>
          <w:tab w:val="left" w:pos="860"/>
          <w:tab w:val="left" w:pos="861"/>
        </w:tabs>
        <w:spacing w:before="0" w:line="266" w:lineRule="exact"/>
        <w:ind w:left="860" w:firstLine="0"/>
        <w:rPr>
          <w:sz w:val="24"/>
          <w:szCs w:val="24"/>
        </w:rPr>
      </w:pPr>
      <w:r w:rsidRPr="00B63F6A">
        <w:rPr>
          <w:sz w:val="24"/>
          <w:szCs w:val="24"/>
        </w:rPr>
        <w:t>Local Authority and waste industry audience</w:t>
      </w:r>
    </w:p>
    <w:p w:rsidR="000E18A0" w:rsidRDefault="000E18A0" w:rsidP="000E18A0">
      <w:pPr>
        <w:pStyle w:val="Heading2"/>
      </w:pPr>
    </w:p>
    <w:p w:rsidR="000D55C4" w:rsidRPr="000E18A0" w:rsidRDefault="000D55C4" w:rsidP="000E18A0">
      <w:pPr>
        <w:pStyle w:val="Heading2"/>
      </w:pPr>
      <w:r w:rsidRPr="000E18A0">
        <w:t>March 2019</w:t>
      </w:r>
    </w:p>
    <w:p w:rsidR="000E18A0" w:rsidRDefault="000D55C4" w:rsidP="000D55C4">
      <w:pPr>
        <w:pStyle w:val="ListParagraph"/>
        <w:numPr>
          <w:ilvl w:val="0"/>
          <w:numId w:val="2"/>
        </w:numPr>
        <w:tabs>
          <w:tab w:val="left" w:pos="860"/>
          <w:tab w:val="left" w:pos="861"/>
        </w:tabs>
        <w:spacing w:before="0" w:line="261" w:lineRule="auto"/>
        <w:ind w:right="4004"/>
        <w:rPr>
          <w:sz w:val="24"/>
          <w:szCs w:val="24"/>
        </w:rPr>
      </w:pPr>
      <w:r w:rsidRPr="000E18A0">
        <w:rPr>
          <w:sz w:val="24"/>
          <w:szCs w:val="24"/>
        </w:rPr>
        <w:t>Food waste - Where</w:t>
      </w:r>
      <w:r w:rsidR="000E18A0">
        <w:rPr>
          <w:sz w:val="24"/>
          <w:szCs w:val="24"/>
        </w:rPr>
        <w:t xml:space="preserve"> are we now? – panellist debate</w:t>
      </w:r>
    </w:p>
    <w:p w:rsidR="000E18A0" w:rsidRDefault="007B37E9" w:rsidP="00B63F6A">
      <w:pPr>
        <w:pStyle w:val="ListParagraph"/>
        <w:tabs>
          <w:tab w:val="left" w:pos="860"/>
          <w:tab w:val="left" w:pos="861"/>
        </w:tabs>
        <w:spacing w:before="0" w:line="261" w:lineRule="auto"/>
        <w:ind w:left="860" w:right="4004" w:firstLine="0"/>
        <w:rPr>
          <w:sz w:val="24"/>
          <w:szCs w:val="24"/>
        </w:rPr>
      </w:pPr>
      <w:r>
        <w:rPr>
          <w:sz w:val="24"/>
          <w:szCs w:val="24"/>
        </w:rPr>
        <w:t>Food Waste C</w:t>
      </w:r>
      <w:r w:rsidR="000D55C4" w:rsidRPr="000E18A0">
        <w:rPr>
          <w:sz w:val="24"/>
          <w:szCs w:val="24"/>
        </w:rPr>
        <w:t>onference,</w:t>
      </w:r>
      <w:r w:rsidR="000D55C4" w:rsidRPr="000E18A0">
        <w:rPr>
          <w:spacing w:val="-1"/>
          <w:sz w:val="24"/>
          <w:szCs w:val="24"/>
        </w:rPr>
        <w:t xml:space="preserve"> </w:t>
      </w:r>
      <w:r w:rsidR="000D55C4" w:rsidRPr="000E18A0">
        <w:rPr>
          <w:sz w:val="24"/>
          <w:szCs w:val="24"/>
        </w:rPr>
        <w:t>London</w:t>
      </w:r>
    </w:p>
    <w:p w:rsidR="000D55C4" w:rsidRPr="000E18A0" w:rsidRDefault="000D55C4" w:rsidP="00B63F6A">
      <w:pPr>
        <w:pStyle w:val="ListParagraph"/>
        <w:tabs>
          <w:tab w:val="left" w:pos="860"/>
          <w:tab w:val="left" w:pos="861"/>
        </w:tabs>
        <w:spacing w:before="0" w:line="261" w:lineRule="auto"/>
        <w:ind w:left="860" w:right="4004" w:firstLine="0"/>
        <w:rPr>
          <w:sz w:val="24"/>
          <w:szCs w:val="24"/>
        </w:rPr>
      </w:pPr>
      <w:r w:rsidRPr="000E18A0">
        <w:rPr>
          <w:sz w:val="24"/>
          <w:szCs w:val="24"/>
        </w:rPr>
        <w:t>Local Authority and waste industry audience</w:t>
      </w:r>
    </w:p>
    <w:p w:rsidR="000D55C4" w:rsidRPr="000E18A0" w:rsidRDefault="000D55C4" w:rsidP="000D55C4">
      <w:pPr>
        <w:pStyle w:val="BodyText"/>
      </w:pPr>
    </w:p>
    <w:p w:rsidR="000D55C4" w:rsidRPr="000E18A0" w:rsidRDefault="000D55C4" w:rsidP="000D55C4">
      <w:pPr>
        <w:pStyle w:val="BodyText"/>
        <w:spacing w:before="2"/>
      </w:pPr>
    </w:p>
    <w:p w:rsidR="000D55C4" w:rsidRPr="000E18A0" w:rsidRDefault="000D55C4" w:rsidP="000E18A0">
      <w:pPr>
        <w:pStyle w:val="Heading1"/>
        <w:pBdr>
          <w:bottom w:val="single" w:sz="4" w:space="1" w:color="auto"/>
        </w:pBdr>
        <w:spacing w:before="400"/>
        <w:ind w:hanging="790"/>
      </w:pPr>
      <w:r w:rsidRPr="000E18A0">
        <w:t>Awards entries during 2018/19</w:t>
      </w:r>
    </w:p>
    <w:p w:rsidR="000D55C4" w:rsidRPr="000E18A0" w:rsidRDefault="00AE6C59" w:rsidP="000D55C4">
      <w:pPr>
        <w:pStyle w:val="BodyText"/>
        <w:spacing w:line="20" w:lineRule="exact"/>
        <w:ind w:left="106"/>
        <w:rPr>
          <w:rFonts w:ascii="Calibri Light"/>
        </w:rPr>
      </w:pPr>
      <w:r w:rsidRPr="000E18A0">
        <w:rPr>
          <w:noProof/>
          <w:lang w:bidi="ar-SA"/>
        </w:rPr>
        <mc:AlternateContent>
          <mc:Choice Requires="wpg">
            <w:drawing>
              <wp:inline distT="0" distB="0" distL="0" distR="0">
                <wp:extent cx="5769610" cy="6350"/>
                <wp:effectExtent l="0" t="0" r="2540" b="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1" name="Line 3"/>
                        <wps:cNvCnPr>
                          <a:cxnSpLocks noChangeShapeType="1"/>
                        </wps:cNvCnPr>
                        <wps:spPr bwMode="auto">
                          <a:xfrm>
                            <a:off x="0" y="5"/>
                            <a:ext cx="9085"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BCB349" id="Group 2"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">
                <v:line id="Line 3"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" strokecolor="#5b9bd4" strokeweight=".48pt"/>
                <w10:anchorlock/>
              </v:group>
            </w:pict>
          </mc:Fallback>
        </mc:AlternateContent>
      </w:r>
    </w:p>
    <w:p w:rsidR="000D55C4" w:rsidRDefault="000D55C4" w:rsidP="000D55C4">
      <w:pPr>
        <w:pStyle w:val="BodyText"/>
        <w:spacing w:before="27"/>
        <w:ind w:left="140"/>
      </w:pPr>
      <w:r w:rsidRPr="000E18A0">
        <w:t>West London Waste was shortlisted fo</w:t>
      </w:r>
      <w:r w:rsidR="005728FC">
        <w:t>r two awards during this period:</w:t>
      </w:r>
    </w:p>
    <w:p w:rsidR="005728FC" w:rsidRDefault="000D55C4" w:rsidP="005728FC">
      <w:pPr>
        <w:pStyle w:val="BodyText"/>
        <w:numPr>
          <w:ilvl w:val="0"/>
          <w:numId w:val="3"/>
        </w:numPr>
        <w:spacing w:before="145" w:line="264" w:lineRule="auto"/>
      </w:pPr>
      <w:r w:rsidRPr="000E18A0">
        <w:t>Finalist for the MRW National Recycling Awards under the category ‘Best Public/Private Partnership’. The entry highlighted the excellent working partnership with SUEZ UK in treating West London’s waste as a valuable resource.</w:t>
      </w:r>
    </w:p>
    <w:p w:rsidR="000D55C4" w:rsidRPr="000E18A0" w:rsidRDefault="000D55C4" w:rsidP="005728FC">
      <w:pPr>
        <w:pStyle w:val="BodyText"/>
        <w:numPr>
          <w:ilvl w:val="0"/>
          <w:numId w:val="3"/>
        </w:numPr>
        <w:spacing w:before="145" w:line="264" w:lineRule="auto"/>
      </w:pPr>
      <w:r w:rsidRPr="000E18A0">
        <w:t xml:space="preserve">Finalist at the Edie Sustainability awards for ‘Team of the year’, showcasing the various projects and events the Waste Minimisation team delivers </w:t>
      </w:r>
      <w:r w:rsidR="005728FC">
        <w:t>with</w:t>
      </w:r>
      <w:r w:rsidRPr="000E18A0">
        <w:t xml:space="preserve"> our six constituent boroughs.</w:t>
      </w:r>
    </w:p>
    <w:p w:rsidR="000D55C4" w:rsidRPr="000E18A0" w:rsidRDefault="000D55C4">
      <w:pPr>
        <w:rPr>
          <w:sz w:val="24"/>
          <w:szCs w:val="24"/>
        </w:rPr>
      </w:pPr>
    </w:p>
    <w:sectPr w:rsidR="000D55C4" w:rsidRPr="000E18A0">
      <w:pgSz w:w="11910" w:h="16840"/>
      <w:pgMar w:top="700" w:right="7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F01F1"/>
    <w:multiLevelType w:val="hybridMultilevel"/>
    <w:tmpl w:val="5A42039A"/>
    <w:lvl w:ilvl="0" w:tplc="0809000F">
      <w:start w:val="1"/>
      <w:numFmt w:val="decimal"/>
      <w:lvlText w:val="%1."/>
      <w:lvlJc w:val="left"/>
      <w:pPr>
        <w:ind w:left="860" w:hanging="360"/>
      </w:p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 w15:restartNumberingAfterBreak="0">
    <w:nsid w:val="5CF023D4"/>
    <w:multiLevelType w:val="multilevel"/>
    <w:tmpl w:val="DF3EF094"/>
    <w:lvl w:ilvl="0">
      <w:start w:val="1"/>
      <w:numFmt w:val="decimal"/>
      <w:lvlText w:val="%1."/>
      <w:lvlJc w:val="left"/>
      <w:pPr>
        <w:ind w:left="500" w:hanging="360"/>
      </w:pPr>
      <w:rPr>
        <w:rFonts w:ascii="Arial" w:eastAsia="Arial" w:hAnsi="Arial" w:cs="Arial" w:hint="default"/>
        <w:spacing w:val="-1"/>
        <w:w w:val="100"/>
        <w:sz w:val="22"/>
        <w:szCs w:val="22"/>
        <w:lang w:val="en-GB" w:eastAsia="en-GB" w:bidi="en-GB"/>
      </w:rPr>
    </w:lvl>
    <w:lvl w:ilvl="1">
      <w:start w:val="1"/>
      <w:numFmt w:val="decimal"/>
      <w:lvlText w:val="%1.%2."/>
      <w:lvlJc w:val="left"/>
      <w:pPr>
        <w:ind w:left="932" w:hanging="433"/>
      </w:pPr>
      <w:rPr>
        <w:rFonts w:ascii="Arial" w:eastAsia="Arial" w:hAnsi="Arial" w:cs="Arial" w:hint="default"/>
        <w:w w:val="99"/>
        <w:sz w:val="24"/>
        <w:szCs w:val="24"/>
        <w:lang w:val="en-GB" w:eastAsia="en-GB" w:bidi="en-GB"/>
      </w:rPr>
    </w:lvl>
    <w:lvl w:ilvl="2">
      <w:start w:val="1"/>
      <w:numFmt w:val="decimal"/>
      <w:lvlText w:val="%1.%2.%3."/>
      <w:lvlJc w:val="left"/>
      <w:pPr>
        <w:ind w:left="1364" w:hanging="819"/>
      </w:pPr>
      <w:rPr>
        <w:rFonts w:ascii="Arial" w:eastAsia="Arial" w:hAnsi="Arial" w:cs="Arial" w:hint="default"/>
        <w:spacing w:val="-2"/>
        <w:w w:val="99"/>
        <w:sz w:val="24"/>
        <w:szCs w:val="24"/>
        <w:lang w:val="en-GB" w:eastAsia="en-GB" w:bidi="en-GB"/>
      </w:rPr>
    </w:lvl>
    <w:lvl w:ilvl="3">
      <w:numFmt w:val="bullet"/>
      <w:lvlText w:val=""/>
      <w:lvlJc w:val="left"/>
      <w:pPr>
        <w:ind w:left="2084" w:hanging="360"/>
      </w:pPr>
      <w:rPr>
        <w:rFonts w:ascii="Symbol" w:eastAsia="Symbol" w:hAnsi="Symbol" w:cs="Symbol" w:hint="default"/>
        <w:w w:val="100"/>
        <w:sz w:val="24"/>
        <w:szCs w:val="24"/>
        <w:lang w:val="en-GB" w:eastAsia="en-GB" w:bidi="en-GB"/>
      </w:rPr>
    </w:lvl>
    <w:lvl w:ilvl="4">
      <w:numFmt w:val="bullet"/>
      <w:lvlText w:val="•"/>
      <w:lvlJc w:val="left"/>
      <w:pPr>
        <w:ind w:left="3295" w:hanging="360"/>
      </w:pPr>
      <w:rPr>
        <w:rFonts w:hint="default"/>
        <w:lang w:val="en-GB" w:eastAsia="en-GB" w:bidi="en-GB"/>
      </w:rPr>
    </w:lvl>
    <w:lvl w:ilvl="5">
      <w:numFmt w:val="bullet"/>
      <w:lvlText w:val="•"/>
      <w:lvlJc w:val="left"/>
      <w:pPr>
        <w:ind w:left="4510" w:hanging="360"/>
      </w:pPr>
      <w:rPr>
        <w:rFonts w:hint="default"/>
        <w:lang w:val="en-GB" w:eastAsia="en-GB" w:bidi="en-GB"/>
      </w:rPr>
    </w:lvl>
    <w:lvl w:ilvl="6">
      <w:numFmt w:val="bullet"/>
      <w:lvlText w:val="•"/>
      <w:lvlJc w:val="left"/>
      <w:pPr>
        <w:ind w:left="5725" w:hanging="360"/>
      </w:pPr>
      <w:rPr>
        <w:rFonts w:hint="default"/>
        <w:lang w:val="en-GB" w:eastAsia="en-GB" w:bidi="en-GB"/>
      </w:rPr>
    </w:lvl>
    <w:lvl w:ilvl="7">
      <w:numFmt w:val="bullet"/>
      <w:lvlText w:val="•"/>
      <w:lvlJc w:val="left"/>
      <w:pPr>
        <w:ind w:left="6940" w:hanging="360"/>
      </w:pPr>
      <w:rPr>
        <w:rFonts w:hint="default"/>
        <w:lang w:val="en-GB" w:eastAsia="en-GB" w:bidi="en-GB"/>
      </w:rPr>
    </w:lvl>
    <w:lvl w:ilvl="8">
      <w:numFmt w:val="bullet"/>
      <w:lvlText w:val="•"/>
      <w:lvlJc w:val="left"/>
      <w:pPr>
        <w:ind w:left="8156" w:hanging="360"/>
      </w:pPr>
      <w:rPr>
        <w:rFonts w:hint="default"/>
        <w:lang w:val="en-GB" w:eastAsia="en-GB" w:bidi="en-GB"/>
      </w:rPr>
    </w:lvl>
  </w:abstractNum>
  <w:abstractNum w:abstractNumId="2" w15:restartNumberingAfterBreak="0">
    <w:nsid w:val="6D551CB8"/>
    <w:multiLevelType w:val="hybridMultilevel"/>
    <w:tmpl w:val="D484692A"/>
    <w:lvl w:ilvl="0" w:tplc="FAA8B41E">
      <w:numFmt w:val="bullet"/>
      <w:lvlText w:val=""/>
      <w:lvlJc w:val="left"/>
      <w:pPr>
        <w:ind w:left="860" w:hanging="360"/>
      </w:pPr>
      <w:rPr>
        <w:rFonts w:ascii="Symbol" w:eastAsia="Symbol" w:hAnsi="Symbol" w:cs="Symbol" w:hint="default"/>
        <w:w w:val="100"/>
        <w:sz w:val="21"/>
        <w:szCs w:val="21"/>
        <w:lang w:val="en-GB" w:eastAsia="en-GB" w:bidi="en-GB"/>
      </w:rPr>
    </w:lvl>
    <w:lvl w:ilvl="1" w:tplc="6700E68C">
      <w:numFmt w:val="bullet"/>
      <w:lvlText w:val="•"/>
      <w:lvlJc w:val="left"/>
      <w:pPr>
        <w:ind w:left="1704" w:hanging="360"/>
      </w:pPr>
      <w:rPr>
        <w:rFonts w:hint="default"/>
        <w:lang w:val="en-GB" w:eastAsia="en-GB" w:bidi="en-GB"/>
      </w:rPr>
    </w:lvl>
    <w:lvl w:ilvl="2" w:tplc="1C0C4348">
      <w:numFmt w:val="bullet"/>
      <w:lvlText w:val="•"/>
      <w:lvlJc w:val="left"/>
      <w:pPr>
        <w:ind w:left="2549" w:hanging="360"/>
      </w:pPr>
      <w:rPr>
        <w:rFonts w:hint="default"/>
        <w:lang w:val="en-GB" w:eastAsia="en-GB" w:bidi="en-GB"/>
      </w:rPr>
    </w:lvl>
    <w:lvl w:ilvl="3" w:tplc="B04869AC">
      <w:numFmt w:val="bullet"/>
      <w:lvlText w:val="•"/>
      <w:lvlJc w:val="left"/>
      <w:pPr>
        <w:ind w:left="3393" w:hanging="360"/>
      </w:pPr>
      <w:rPr>
        <w:rFonts w:hint="default"/>
        <w:lang w:val="en-GB" w:eastAsia="en-GB" w:bidi="en-GB"/>
      </w:rPr>
    </w:lvl>
    <w:lvl w:ilvl="4" w:tplc="4B02E73E">
      <w:numFmt w:val="bullet"/>
      <w:lvlText w:val="•"/>
      <w:lvlJc w:val="left"/>
      <w:pPr>
        <w:ind w:left="4238" w:hanging="360"/>
      </w:pPr>
      <w:rPr>
        <w:rFonts w:hint="default"/>
        <w:lang w:val="en-GB" w:eastAsia="en-GB" w:bidi="en-GB"/>
      </w:rPr>
    </w:lvl>
    <w:lvl w:ilvl="5" w:tplc="EBA81D82">
      <w:numFmt w:val="bullet"/>
      <w:lvlText w:val="•"/>
      <w:lvlJc w:val="left"/>
      <w:pPr>
        <w:ind w:left="5083" w:hanging="360"/>
      </w:pPr>
      <w:rPr>
        <w:rFonts w:hint="default"/>
        <w:lang w:val="en-GB" w:eastAsia="en-GB" w:bidi="en-GB"/>
      </w:rPr>
    </w:lvl>
    <w:lvl w:ilvl="6" w:tplc="7950716E">
      <w:numFmt w:val="bullet"/>
      <w:lvlText w:val="•"/>
      <w:lvlJc w:val="left"/>
      <w:pPr>
        <w:ind w:left="5927" w:hanging="360"/>
      </w:pPr>
      <w:rPr>
        <w:rFonts w:hint="default"/>
        <w:lang w:val="en-GB" w:eastAsia="en-GB" w:bidi="en-GB"/>
      </w:rPr>
    </w:lvl>
    <w:lvl w:ilvl="7" w:tplc="E4AE90F6">
      <w:numFmt w:val="bullet"/>
      <w:lvlText w:val="•"/>
      <w:lvlJc w:val="left"/>
      <w:pPr>
        <w:ind w:left="6772" w:hanging="360"/>
      </w:pPr>
      <w:rPr>
        <w:rFonts w:hint="default"/>
        <w:lang w:val="en-GB" w:eastAsia="en-GB" w:bidi="en-GB"/>
      </w:rPr>
    </w:lvl>
    <w:lvl w:ilvl="8" w:tplc="9104F3CE">
      <w:numFmt w:val="bullet"/>
      <w:lvlText w:val="•"/>
      <w:lvlJc w:val="left"/>
      <w:pPr>
        <w:ind w:left="7617" w:hanging="360"/>
      </w:pPr>
      <w:rPr>
        <w:rFonts w:hint="default"/>
        <w:lang w:val="en-GB" w:eastAsia="en-GB" w:bidi="en-G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13"/>
    <w:rsid w:val="00005A56"/>
    <w:rsid w:val="00031376"/>
    <w:rsid w:val="000D55C4"/>
    <w:rsid w:val="000E18A0"/>
    <w:rsid w:val="00193F2C"/>
    <w:rsid w:val="00232F75"/>
    <w:rsid w:val="002534C5"/>
    <w:rsid w:val="003032BB"/>
    <w:rsid w:val="003768E0"/>
    <w:rsid w:val="004020D7"/>
    <w:rsid w:val="00434FEB"/>
    <w:rsid w:val="0047291D"/>
    <w:rsid w:val="004F73A7"/>
    <w:rsid w:val="00522470"/>
    <w:rsid w:val="00560785"/>
    <w:rsid w:val="005728FC"/>
    <w:rsid w:val="00575A7A"/>
    <w:rsid w:val="005B15C9"/>
    <w:rsid w:val="00661A91"/>
    <w:rsid w:val="007B37E9"/>
    <w:rsid w:val="007E000F"/>
    <w:rsid w:val="007F6F23"/>
    <w:rsid w:val="00827313"/>
    <w:rsid w:val="00827D7B"/>
    <w:rsid w:val="00837762"/>
    <w:rsid w:val="008D3CC2"/>
    <w:rsid w:val="009143FE"/>
    <w:rsid w:val="00942CE2"/>
    <w:rsid w:val="009D5498"/>
    <w:rsid w:val="00A36222"/>
    <w:rsid w:val="00AE154D"/>
    <w:rsid w:val="00AE6C59"/>
    <w:rsid w:val="00B63F6A"/>
    <w:rsid w:val="00C343DD"/>
    <w:rsid w:val="00E3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9D1DD-9A78-46CF-A041-6CF8A35E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3"/>
      <w:ind w:left="932" w:hanging="432"/>
      <w:outlineLvl w:val="0"/>
    </w:pPr>
    <w:rPr>
      <w:b/>
      <w:bCs/>
      <w:sz w:val="24"/>
      <w:szCs w:val="24"/>
    </w:rPr>
  </w:style>
  <w:style w:type="paragraph" w:styleId="Heading2">
    <w:name w:val="heading 2"/>
    <w:basedOn w:val="Normal"/>
    <w:next w:val="Normal"/>
    <w:link w:val="Heading2Char"/>
    <w:uiPriority w:val="9"/>
    <w:unhideWhenUsed/>
    <w:qFormat/>
    <w:rsid w:val="000E18A0"/>
    <w:pPr>
      <w:keepNext/>
      <w:keepLines/>
      <w:spacing w:before="44"/>
      <w:ind w:firstLine="142"/>
      <w:outlineLvl w:val="1"/>
    </w:pPr>
    <w:rPr>
      <w:rFonts w:eastAsiaTheme="majorEastAs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1364" w:hanging="504"/>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0E18A0"/>
    <w:rPr>
      <w:rFonts w:ascii="Arial" w:eastAsiaTheme="majorEastAsia" w:hAnsi="Arial" w:cs="Arial"/>
      <w:b/>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emmabeal@westlondonwast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ildredjeakins@westlondonwaste.gov.uk"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Castle Computer Services</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creator>Sarah Ellis</dc:creator>
  <cp:lastModifiedBy>Emma Beal</cp:lastModifiedBy>
  <cp:revision>16</cp:revision>
  <dcterms:created xsi:type="dcterms:W3CDTF">2019-03-18T16:15:00Z</dcterms:created>
  <dcterms:modified xsi:type="dcterms:W3CDTF">2019-03-19T15:00:00Z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2019-03-18T00:00:00Z</vt:filetime>
  </property>
</Properties>
</file>